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FB" w:rsidRPr="009C4EE2" w:rsidRDefault="00F54085">
      <w:pPr>
        <w:autoSpaceDE w:val="0"/>
        <w:autoSpaceDN w:val="0"/>
        <w:jc w:val="center"/>
        <w:rPr>
          <w:color w:val="auto"/>
          <w:sz w:val="22"/>
          <w:szCs w:val="22"/>
          <w:lang w:val="en-US"/>
        </w:rPr>
      </w:pPr>
      <w:r w:rsidRPr="009C4EE2">
        <w:rPr>
          <w:sz w:val="22"/>
          <w:szCs w:val="22"/>
          <w:lang w:val="en-US"/>
        </w:rPr>
        <w:t>INSTITUTE OF ART</w:t>
      </w:r>
      <w:r w:rsidR="00A04BFB" w:rsidRPr="009C4EE2">
        <w:rPr>
          <w:sz w:val="22"/>
          <w:szCs w:val="22"/>
          <w:lang w:val="en-US"/>
        </w:rPr>
        <w:t xml:space="preserve"> AND LAW</w:t>
      </w:r>
    </w:p>
    <w:p w:rsidR="00A04BFB" w:rsidRPr="009C4EE2" w:rsidRDefault="008F5F39">
      <w:pPr>
        <w:pStyle w:val="Heading1"/>
        <w:rPr>
          <w:sz w:val="22"/>
          <w:szCs w:val="22"/>
        </w:rPr>
      </w:pPr>
      <w:r w:rsidRPr="009C4EE2">
        <w:rPr>
          <w:sz w:val="22"/>
          <w:szCs w:val="22"/>
        </w:rPr>
        <w:t xml:space="preserve">GUIDELINES FOR CONTRIBUTORS AND </w:t>
      </w:r>
      <w:r w:rsidR="00A04BFB" w:rsidRPr="009C4EE2">
        <w:rPr>
          <w:sz w:val="22"/>
          <w:szCs w:val="22"/>
        </w:rPr>
        <w:t>STYLESHEET</w:t>
      </w:r>
      <w:r w:rsidRPr="009C4EE2">
        <w:rPr>
          <w:sz w:val="22"/>
          <w:szCs w:val="22"/>
        </w:rPr>
        <w:t xml:space="preserve"> </w:t>
      </w:r>
    </w:p>
    <w:p w:rsidR="008F5F39" w:rsidRPr="009C4EE2" w:rsidRDefault="008F5F39" w:rsidP="008F5F39">
      <w:pPr>
        <w:rPr>
          <w:sz w:val="22"/>
          <w:szCs w:val="22"/>
          <w:lang w:val="en-US"/>
        </w:rPr>
      </w:pPr>
    </w:p>
    <w:p w:rsidR="008F5F39" w:rsidRPr="009C4EE2" w:rsidRDefault="00F54085" w:rsidP="008F5F39">
      <w:pPr>
        <w:rPr>
          <w:sz w:val="22"/>
          <w:szCs w:val="22"/>
          <w:lang w:val="en-US"/>
        </w:rPr>
      </w:pPr>
      <w:r w:rsidRPr="009C4EE2">
        <w:rPr>
          <w:sz w:val="22"/>
          <w:szCs w:val="22"/>
          <w:lang w:val="en-US"/>
        </w:rPr>
        <w:t>Papers</w:t>
      </w:r>
      <w:r w:rsidR="008F5F39" w:rsidRPr="009C4EE2">
        <w:rPr>
          <w:sz w:val="22"/>
          <w:szCs w:val="22"/>
          <w:lang w:val="en-US"/>
        </w:rPr>
        <w:t xml:space="preserve"> should be sent </w:t>
      </w:r>
      <w:r w:rsidRPr="009C4EE2">
        <w:rPr>
          <w:sz w:val="22"/>
          <w:szCs w:val="22"/>
          <w:lang w:val="en-US"/>
        </w:rPr>
        <w:t xml:space="preserve">in Word format </w:t>
      </w:r>
      <w:r w:rsidR="008F5F39" w:rsidRPr="009C4EE2">
        <w:rPr>
          <w:sz w:val="22"/>
          <w:szCs w:val="22"/>
          <w:lang w:val="en-US"/>
        </w:rPr>
        <w:t xml:space="preserve">to </w:t>
      </w:r>
      <w:hyperlink r:id="rId7" w:history="1">
        <w:r w:rsidR="009D6470" w:rsidRPr="009C4EE2">
          <w:rPr>
            <w:rStyle w:val="Hyperlink"/>
            <w:sz w:val="22"/>
            <w:szCs w:val="22"/>
            <w:lang w:val="en-US"/>
          </w:rPr>
          <w:t>info@ial.uk.com</w:t>
        </w:r>
      </w:hyperlink>
      <w:r w:rsidRPr="009C4EE2">
        <w:rPr>
          <w:sz w:val="22"/>
          <w:szCs w:val="22"/>
          <w:lang w:val="en-US"/>
        </w:rPr>
        <w:t xml:space="preserve"> </w:t>
      </w:r>
    </w:p>
    <w:p w:rsidR="008F5F39" w:rsidRPr="009C4EE2" w:rsidRDefault="008F5F39" w:rsidP="008F5F39">
      <w:pPr>
        <w:rPr>
          <w:sz w:val="22"/>
          <w:szCs w:val="22"/>
          <w:lang w:val="en-US"/>
        </w:rPr>
      </w:pPr>
    </w:p>
    <w:p w:rsidR="006910A4" w:rsidRPr="009C4EE2" w:rsidRDefault="00F54085" w:rsidP="008F5F39">
      <w:pPr>
        <w:rPr>
          <w:sz w:val="22"/>
          <w:szCs w:val="22"/>
          <w:lang w:val="en-US"/>
        </w:rPr>
      </w:pPr>
      <w:r w:rsidRPr="009C4EE2">
        <w:rPr>
          <w:sz w:val="22"/>
          <w:szCs w:val="22"/>
          <w:lang w:val="en-US"/>
        </w:rPr>
        <w:t>Papers</w:t>
      </w:r>
      <w:r w:rsidR="006910A4" w:rsidRPr="009C4EE2">
        <w:rPr>
          <w:sz w:val="22"/>
          <w:szCs w:val="22"/>
          <w:lang w:val="en-US"/>
        </w:rPr>
        <w:t xml:space="preserve"> should normally be between 5,000 and 20,000 words, although it may be possible to accept longer </w:t>
      </w:r>
      <w:r w:rsidR="00DE3208" w:rsidRPr="009C4EE2">
        <w:rPr>
          <w:sz w:val="22"/>
          <w:szCs w:val="22"/>
          <w:lang w:val="en-US"/>
        </w:rPr>
        <w:t xml:space="preserve">or shorter </w:t>
      </w:r>
      <w:r w:rsidR="006910A4" w:rsidRPr="009C4EE2">
        <w:rPr>
          <w:sz w:val="22"/>
          <w:szCs w:val="22"/>
          <w:lang w:val="en-US"/>
        </w:rPr>
        <w:t xml:space="preserve">submissions.  </w:t>
      </w:r>
    </w:p>
    <w:p w:rsidR="008F5F39" w:rsidRPr="009C4EE2" w:rsidRDefault="008F5F39" w:rsidP="008F5F39">
      <w:pPr>
        <w:rPr>
          <w:sz w:val="22"/>
          <w:szCs w:val="22"/>
          <w:lang w:val="en-US"/>
        </w:rPr>
      </w:pPr>
    </w:p>
    <w:p w:rsidR="006910A4" w:rsidRPr="009C4EE2" w:rsidRDefault="006910A4" w:rsidP="008F5F39">
      <w:pPr>
        <w:rPr>
          <w:sz w:val="22"/>
          <w:szCs w:val="22"/>
          <w:lang w:val="en-US"/>
        </w:rPr>
      </w:pPr>
      <w:r w:rsidRPr="009C4EE2">
        <w:rPr>
          <w:sz w:val="22"/>
          <w:szCs w:val="22"/>
          <w:lang w:val="en-US"/>
        </w:rPr>
        <w:t xml:space="preserve">Articles may include images and illustrations: these should be submitted separately from the manuscript in high-resolution format, preferably JPEG or TIFF.  It is the responsibility of the author to ensure </w:t>
      </w:r>
      <w:r w:rsidR="00F54085" w:rsidRPr="009C4EE2">
        <w:rPr>
          <w:sz w:val="22"/>
          <w:szCs w:val="22"/>
          <w:lang w:val="en-US"/>
        </w:rPr>
        <w:t>all rights issuers are cleared with the copyright owner before submission of the paper</w:t>
      </w:r>
      <w:r w:rsidRPr="009C4EE2">
        <w:rPr>
          <w:sz w:val="22"/>
          <w:szCs w:val="22"/>
          <w:lang w:val="en-US"/>
        </w:rPr>
        <w:t>.</w:t>
      </w:r>
    </w:p>
    <w:p w:rsidR="00F9313B" w:rsidRPr="009C4EE2" w:rsidRDefault="00F9313B" w:rsidP="008F5F39">
      <w:pPr>
        <w:rPr>
          <w:b/>
          <w:sz w:val="22"/>
          <w:szCs w:val="22"/>
          <w:lang w:val="en-US"/>
        </w:rPr>
      </w:pPr>
    </w:p>
    <w:p w:rsidR="006910A4" w:rsidRPr="009C4EE2" w:rsidRDefault="006910A4" w:rsidP="008F5F39">
      <w:pPr>
        <w:rPr>
          <w:sz w:val="22"/>
          <w:szCs w:val="22"/>
          <w:lang w:val="en-US"/>
        </w:rPr>
      </w:pPr>
      <w:r w:rsidRPr="009C4EE2">
        <w:rPr>
          <w:sz w:val="22"/>
          <w:szCs w:val="22"/>
          <w:lang w:val="en-US"/>
        </w:rPr>
        <w:t>Where possible, submissions should follow the guidelines set out below.  However, failure to do so will not lead to automatic disqualification of a submission.</w:t>
      </w:r>
    </w:p>
    <w:p w:rsidR="00B42538" w:rsidRPr="009C4EE2" w:rsidRDefault="00B42538" w:rsidP="008F5F39">
      <w:pPr>
        <w:rPr>
          <w:sz w:val="22"/>
          <w:szCs w:val="22"/>
          <w:lang w:val="en-US"/>
        </w:rPr>
      </w:pPr>
    </w:p>
    <w:p w:rsidR="00B42538" w:rsidRPr="009C4EE2" w:rsidRDefault="00B42538" w:rsidP="008F5F39">
      <w:pPr>
        <w:rPr>
          <w:sz w:val="22"/>
          <w:szCs w:val="22"/>
          <w:lang w:val="en-US"/>
        </w:rPr>
      </w:pPr>
      <w:r w:rsidRPr="009C4EE2">
        <w:rPr>
          <w:sz w:val="22"/>
          <w:szCs w:val="22"/>
          <w:lang w:val="en-US"/>
        </w:rPr>
        <w:t>This guide deals with the following matters</w:t>
      </w:r>
      <w:r w:rsidR="009C4EE2">
        <w:rPr>
          <w:sz w:val="22"/>
          <w:szCs w:val="22"/>
          <w:lang w:val="en-US"/>
        </w:rPr>
        <w:t xml:space="preserve"> for editors</w:t>
      </w:r>
      <w:r w:rsidRPr="009C4EE2">
        <w:rPr>
          <w:sz w:val="22"/>
          <w:szCs w:val="22"/>
          <w:lang w:val="en-US"/>
        </w:rPr>
        <w:t>:</w:t>
      </w:r>
    </w:p>
    <w:p w:rsidR="00B42538" w:rsidRPr="009C4EE2" w:rsidRDefault="00B42538" w:rsidP="008F5F39">
      <w:pPr>
        <w:rPr>
          <w:sz w:val="22"/>
          <w:szCs w:val="22"/>
          <w:lang w:val="en-US"/>
        </w:rPr>
      </w:pPr>
    </w:p>
    <w:p w:rsidR="00B42538" w:rsidRPr="009C4EE2" w:rsidRDefault="00B42538"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Spelling</w:t>
      </w:r>
    </w:p>
    <w:p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Foreign words</w:t>
      </w:r>
    </w:p>
    <w:p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Abbreviations</w:t>
      </w:r>
    </w:p>
    <w:p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Punctuation</w:t>
      </w:r>
    </w:p>
    <w:p w:rsidR="00B42538" w:rsidRPr="009C4EE2" w:rsidRDefault="00B42538"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Headings</w:t>
      </w:r>
    </w:p>
    <w:p w:rsidR="00B42538" w:rsidRPr="009C4EE2" w:rsidRDefault="00B42538"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Footnotes</w:t>
      </w:r>
    </w:p>
    <w:p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Dates</w:t>
      </w:r>
    </w:p>
    <w:p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Numbers</w:t>
      </w:r>
    </w:p>
    <w:p w:rsidR="00B42538" w:rsidRPr="009C4EE2" w:rsidRDefault="00B42538"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Books</w:t>
      </w:r>
    </w:p>
    <w:p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Periodicals</w:t>
      </w:r>
    </w:p>
    <w:p w:rsidR="00230E51" w:rsidRPr="009C4EE2" w:rsidRDefault="00230E51"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Newspapers</w:t>
      </w:r>
    </w:p>
    <w:p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Law Reports</w:t>
      </w:r>
    </w:p>
    <w:p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Statutes</w:t>
      </w:r>
    </w:p>
    <w:p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Statutory Instruments</w:t>
      </w:r>
    </w:p>
    <w:p w:rsidR="00230E51" w:rsidRPr="009C4EE2" w:rsidRDefault="00230E51"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International Conventions</w:t>
      </w:r>
    </w:p>
    <w:p w:rsidR="00F9313B" w:rsidRPr="009C4EE2" w:rsidRDefault="00F9313B" w:rsidP="008F5F39">
      <w:pPr>
        <w:rPr>
          <w:sz w:val="22"/>
          <w:szCs w:val="22"/>
          <w:lang w:val="en-US"/>
        </w:rPr>
      </w:pPr>
    </w:p>
    <w:p w:rsidR="00230E51" w:rsidRPr="009C4EE2" w:rsidRDefault="00230E51" w:rsidP="008F5F39">
      <w:pPr>
        <w:rPr>
          <w:sz w:val="22"/>
          <w:szCs w:val="22"/>
          <w:lang w:val="en-US"/>
        </w:rPr>
      </w:pPr>
    </w:p>
    <w:p w:rsidR="00230E51" w:rsidRPr="009C4EE2" w:rsidRDefault="00230E51" w:rsidP="008F5F39">
      <w:pPr>
        <w:rPr>
          <w:sz w:val="22"/>
          <w:szCs w:val="22"/>
          <w:lang w:val="en-US"/>
        </w:rPr>
      </w:pPr>
    </w:p>
    <w:p w:rsidR="00F9313B" w:rsidRPr="009C4EE2" w:rsidRDefault="00F9313B" w:rsidP="008F5F39">
      <w:pPr>
        <w:rPr>
          <w:b/>
          <w:sz w:val="22"/>
          <w:szCs w:val="22"/>
          <w:lang w:val="en-US"/>
        </w:rPr>
      </w:pPr>
      <w:r w:rsidRPr="009C4EE2">
        <w:rPr>
          <w:b/>
          <w:sz w:val="22"/>
          <w:szCs w:val="22"/>
          <w:lang w:val="en-US"/>
        </w:rPr>
        <w:t>SPELLING</w:t>
      </w:r>
    </w:p>
    <w:p w:rsidR="00230E51" w:rsidRPr="009C4EE2" w:rsidRDefault="00230E51" w:rsidP="00230E51">
      <w:pPr>
        <w:autoSpaceDE w:val="0"/>
        <w:autoSpaceDN w:val="0"/>
        <w:jc w:val="both"/>
        <w:rPr>
          <w:sz w:val="22"/>
          <w:szCs w:val="22"/>
          <w:lang w:val="en-US"/>
        </w:rPr>
      </w:pPr>
      <w:r w:rsidRPr="009C4EE2">
        <w:rPr>
          <w:sz w:val="22"/>
          <w:szCs w:val="22"/>
          <w:lang w:val="en-US"/>
        </w:rPr>
        <w:t>English Cambridge variant spelling is generally preferred:</w:t>
      </w:r>
    </w:p>
    <w:p w:rsidR="00230E51" w:rsidRPr="009C4EE2" w:rsidRDefault="00230E51" w:rsidP="00230E51">
      <w:pPr>
        <w:autoSpaceDE w:val="0"/>
        <w:autoSpaceDN w:val="0"/>
        <w:jc w:val="both"/>
        <w:rPr>
          <w:sz w:val="22"/>
          <w:szCs w:val="22"/>
          <w:lang w:val="en-US"/>
        </w:rPr>
      </w:pPr>
      <w:r w:rsidRPr="009C4EE2">
        <w:rPr>
          <w:sz w:val="22"/>
          <w:szCs w:val="22"/>
          <w:lang w:val="en-US"/>
        </w:rPr>
        <w:t>-ise (e.g. emphasise)</w:t>
      </w:r>
    </w:p>
    <w:p w:rsidR="00230E51" w:rsidRPr="009C4EE2" w:rsidRDefault="00230E51" w:rsidP="00230E51">
      <w:pPr>
        <w:autoSpaceDE w:val="0"/>
        <w:autoSpaceDN w:val="0"/>
        <w:jc w:val="both"/>
        <w:rPr>
          <w:sz w:val="22"/>
          <w:szCs w:val="22"/>
          <w:lang w:val="en-US"/>
        </w:rPr>
      </w:pPr>
      <w:r w:rsidRPr="009C4EE2">
        <w:rPr>
          <w:sz w:val="22"/>
          <w:szCs w:val="22"/>
          <w:lang w:val="en-US"/>
        </w:rPr>
        <w:t>co-operation</w:t>
      </w:r>
    </w:p>
    <w:p w:rsidR="00230E51" w:rsidRPr="009C4EE2" w:rsidRDefault="00230E51" w:rsidP="00230E51">
      <w:pPr>
        <w:autoSpaceDE w:val="0"/>
        <w:autoSpaceDN w:val="0"/>
        <w:jc w:val="both"/>
        <w:rPr>
          <w:sz w:val="22"/>
          <w:szCs w:val="22"/>
          <w:lang w:val="en-US"/>
        </w:rPr>
      </w:pPr>
      <w:r w:rsidRPr="009C4EE2">
        <w:rPr>
          <w:sz w:val="22"/>
          <w:szCs w:val="22"/>
          <w:lang w:val="en-US"/>
        </w:rPr>
        <w:t>focused, focusing</w:t>
      </w:r>
    </w:p>
    <w:p w:rsidR="00230E51" w:rsidRPr="009C4EE2" w:rsidRDefault="00230E51" w:rsidP="00230E51">
      <w:pPr>
        <w:autoSpaceDE w:val="0"/>
        <w:autoSpaceDN w:val="0"/>
        <w:jc w:val="both"/>
        <w:rPr>
          <w:sz w:val="22"/>
          <w:szCs w:val="22"/>
          <w:lang w:val="en-US"/>
        </w:rPr>
      </w:pPr>
      <w:r w:rsidRPr="009C4EE2">
        <w:rPr>
          <w:sz w:val="22"/>
          <w:szCs w:val="22"/>
          <w:lang w:val="en-US"/>
        </w:rPr>
        <w:t>co-ordinate</w:t>
      </w:r>
    </w:p>
    <w:p w:rsidR="00230E51" w:rsidRPr="009C4EE2" w:rsidRDefault="00230E51" w:rsidP="008F5F39">
      <w:pPr>
        <w:rPr>
          <w:b/>
          <w:sz w:val="22"/>
          <w:szCs w:val="22"/>
          <w:lang w:val="en-US"/>
        </w:rPr>
      </w:pPr>
    </w:p>
    <w:p w:rsidR="00230E51" w:rsidRPr="009C4EE2" w:rsidRDefault="00230E51" w:rsidP="00230E51">
      <w:pPr>
        <w:pStyle w:val="Heading3"/>
        <w:rPr>
          <w:sz w:val="22"/>
          <w:szCs w:val="22"/>
        </w:rPr>
      </w:pPr>
      <w:r w:rsidRPr="009C4EE2">
        <w:rPr>
          <w:sz w:val="22"/>
          <w:szCs w:val="22"/>
        </w:rPr>
        <w:t>FOREIGN WORDS</w:t>
      </w:r>
    </w:p>
    <w:p w:rsidR="00230E51" w:rsidRPr="009C4EE2" w:rsidRDefault="00230E51" w:rsidP="00230E51">
      <w:pPr>
        <w:autoSpaceDE w:val="0"/>
        <w:autoSpaceDN w:val="0"/>
        <w:jc w:val="both"/>
        <w:rPr>
          <w:sz w:val="22"/>
          <w:szCs w:val="22"/>
          <w:lang w:val="en-US"/>
        </w:rPr>
      </w:pPr>
      <w:r w:rsidRPr="009C4EE2">
        <w:rPr>
          <w:sz w:val="22"/>
          <w:szCs w:val="22"/>
          <w:lang w:val="en-US"/>
        </w:rPr>
        <w:t>Should generally be italicised:</w:t>
      </w:r>
    </w:p>
    <w:p w:rsidR="00230E51" w:rsidRPr="009C4EE2" w:rsidRDefault="00230E51" w:rsidP="00230E51">
      <w:pPr>
        <w:pStyle w:val="Heading2"/>
        <w:rPr>
          <w:sz w:val="22"/>
          <w:szCs w:val="22"/>
          <w:lang w:val="fr-FR"/>
        </w:rPr>
      </w:pPr>
      <w:r w:rsidRPr="009C4EE2">
        <w:rPr>
          <w:sz w:val="22"/>
          <w:szCs w:val="22"/>
          <w:lang w:val="fr-FR"/>
        </w:rPr>
        <w:t>Bona fide</w:t>
      </w:r>
    </w:p>
    <w:p w:rsidR="00230E51" w:rsidRPr="009C4EE2" w:rsidRDefault="00230E51" w:rsidP="00230E51">
      <w:pPr>
        <w:autoSpaceDE w:val="0"/>
        <w:autoSpaceDN w:val="0"/>
        <w:jc w:val="both"/>
        <w:rPr>
          <w:i/>
          <w:sz w:val="22"/>
          <w:szCs w:val="22"/>
          <w:lang w:val="fr-FR"/>
        </w:rPr>
      </w:pPr>
      <w:r w:rsidRPr="009C4EE2">
        <w:rPr>
          <w:i/>
          <w:sz w:val="22"/>
          <w:szCs w:val="22"/>
          <w:lang w:val="fr-FR"/>
        </w:rPr>
        <w:t>Vis-à-vis</w:t>
      </w:r>
    </w:p>
    <w:p w:rsidR="00230E51" w:rsidRPr="009C4EE2" w:rsidRDefault="00230E51" w:rsidP="00230E51">
      <w:pPr>
        <w:autoSpaceDE w:val="0"/>
        <w:autoSpaceDN w:val="0"/>
        <w:jc w:val="both"/>
        <w:rPr>
          <w:i/>
          <w:sz w:val="22"/>
          <w:szCs w:val="22"/>
          <w:lang w:val="fr-FR"/>
        </w:rPr>
      </w:pPr>
      <w:r w:rsidRPr="009C4EE2">
        <w:rPr>
          <w:i/>
          <w:sz w:val="22"/>
          <w:szCs w:val="22"/>
          <w:lang w:val="fr-FR"/>
        </w:rPr>
        <w:t>Prima facie</w:t>
      </w:r>
    </w:p>
    <w:p w:rsidR="00230E51" w:rsidRPr="009C4EE2" w:rsidRDefault="00230E51" w:rsidP="00230E51">
      <w:pPr>
        <w:autoSpaceDE w:val="0"/>
        <w:autoSpaceDN w:val="0"/>
        <w:jc w:val="both"/>
        <w:rPr>
          <w:i/>
          <w:sz w:val="22"/>
          <w:szCs w:val="22"/>
          <w:lang w:val="fr-FR"/>
        </w:rPr>
      </w:pPr>
      <w:r w:rsidRPr="009C4EE2">
        <w:rPr>
          <w:i/>
          <w:sz w:val="22"/>
          <w:szCs w:val="22"/>
          <w:lang w:val="fr-FR"/>
        </w:rPr>
        <w:t>Dicta</w:t>
      </w:r>
    </w:p>
    <w:p w:rsidR="00230E51" w:rsidRPr="009C4EE2" w:rsidRDefault="00230E51" w:rsidP="00230E51">
      <w:pPr>
        <w:autoSpaceDE w:val="0"/>
        <w:autoSpaceDN w:val="0"/>
        <w:jc w:val="both"/>
        <w:rPr>
          <w:i/>
          <w:sz w:val="22"/>
          <w:szCs w:val="22"/>
          <w:lang w:val="fr-FR"/>
        </w:rPr>
      </w:pPr>
      <w:r w:rsidRPr="009C4EE2">
        <w:rPr>
          <w:i/>
          <w:sz w:val="22"/>
          <w:szCs w:val="22"/>
          <w:lang w:val="fr-FR"/>
        </w:rPr>
        <w:t>Obiter</w:t>
      </w:r>
    </w:p>
    <w:p w:rsidR="00230E51" w:rsidRPr="009C4EE2" w:rsidRDefault="00230E51" w:rsidP="00230E51">
      <w:pPr>
        <w:autoSpaceDE w:val="0"/>
        <w:autoSpaceDN w:val="0"/>
        <w:jc w:val="both"/>
        <w:rPr>
          <w:i/>
          <w:sz w:val="22"/>
          <w:szCs w:val="22"/>
          <w:lang w:val="fr-FR"/>
        </w:rPr>
      </w:pPr>
      <w:r w:rsidRPr="009C4EE2">
        <w:rPr>
          <w:i/>
          <w:sz w:val="22"/>
          <w:szCs w:val="22"/>
          <w:lang w:val="fr-FR"/>
        </w:rPr>
        <w:t>Ultra vires</w:t>
      </w:r>
    </w:p>
    <w:p w:rsidR="00230E51" w:rsidRPr="009C4EE2" w:rsidRDefault="00230E51" w:rsidP="00230E51">
      <w:pPr>
        <w:autoSpaceDE w:val="0"/>
        <w:autoSpaceDN w:val="0"/>
        <w:jc w:val="both"/>
        <w:rPr>
          <w:i/>
          <w:sz w:val="22"/>
          <w:szCs w:val="22"/>
          <w:lang w:val="fr-FR"/>
        </w:rPr>
      </w:pPr>
      <w:r w:rsidRPr="009C4EE2">
        <w:rPr>
          <w:i/>
          <w:sz w:val="22"/>
          <w:szCs w:val="22"/>
          <w:lang w:val="fr-FR"/>
        </w:rPr>
        <w:t>In rem</w:t>
      </w:r>
    </w:p>
    <w:p w:rsidR="00230E51" w:rsidRPr="009C4EE2" w:rsidRDefault="00230E51" w:rsidP="00230E51">
      <w:pPr>
        <w:autoSpaceDE w:val="0"/>
        <w:autoSpaceDN w:val="0"/>
        <w:jc w:val="both"/>
        <w:rPr>
          <w:i/>
          <w:sz w:val="22"/>
          <w:szCs w:val="22"/>
          <w:lang w:val="fr-FR"/>
        </w:rPr>
      </w:pPr>
      <w:r w:rsidRPr="009C4EE2">
        <w:rPr>
          <w:i/>
          <w:sz w:val="22"/>
          <w:szCs w:val="22"/>
          <w:lang w:val="fr-FR"/>
        </w:rPr>
        <w:t>Ex parte</w:t>
      </w:r>
    </w:p>
    <w:p w:rsidR="00230E51" w:rsidRDefault="00230E51" w:rsidP="00230E51">
      <w:pPr>
        <w:autoSpaceDE w:val="0"/>
        <w:autoSpaceDN w:val="0"/>
        <w:jc w:val="both"/>
        <w:rPr>
          <w:i/>
          <w:sz w:val="22"/>
          <w:szCs w:val="22"/>
          <w:lang w:val="en-US"/>
        </w:rPr>
      </w:pPr>
      <w:r w:rsidRPr="009C4EE2">
        <w:rPr>
          <w:i/>
          <w:sz w:val="22"/>
          <w:szCs w:val="22"/>
          <w:lang w:val="en-US"/>
        </w:rPr>
        <w:t>Ibid.</w:t>
      </w:r>
    </w:p>
    <w:p w:rsidR="00FC0377" w:rsidRPr="009C4EE2" w:rsidRDefault="00FC0377" w:rsidP="00230E51">
      <w:pPr>
        <w:autoSpaceDE w:val="0"/>
        <w:autoSpaceDN w:val="0"/>
        <w:jc w:val="both"/>
        <w:rPr>
          <w:sz w:val="22"/>
          <w:szCs w:val="22"/>
          <w:lang w:val="en-US"/>
        </w:rPr>
      </w:pPr>
    </w:p>
    <w:p w:rsidR="00230E51" w:rsidRPr="009C4EE2" w:rsidRDefault="00230E51" w:rsidP="00230E51">
      <w:pPr>
        <w:rPr>
          <w:b/>
          <w:sz w:val="22"/>
          <w:szCs w:val="22"/>
          <w:lang w:val="en-US"/>
        </w:rPr>
      </w:pPr>
      <w:r w:rsidRPr="009C4EE2">
        <w:rPr>
          <w:b/>
          <w:sz w:val="22"/>
          <w:szCs w:val="22"/>
          <w:lang w:val="en-US"/>
        </w:rPr>
        <w:lastRenderedPageBreak/>
        <w:t>ABBREVIATIONS</w:t>
      </w:r>
    </w:p>
    <w:p w:rsidR="00230E51" w:rsidRPr="009C4EE2" w:rsidRDefault="00230E51" w:rsidP="00230E51">
      <w:pPr>
        <w:autoSpaceDE w:val="0"/>
        <w:autoSpaceDN w:val="0"/>
        <w:jc w:val="both"/>
        <w:rPr>
          <w:sz w:val="22"/>
          <w:szCs w:val="22"/>
          <w:lang w:val="en-US"/>
        </w:rPr>
      </w:pPr>
      <w:r w:rsidRPr="009C4EE2">
        <w:rPr>
          <w:sz w:val="22"/>
          <w:szCs w:val="22"/>
          <w:lang w:val="en-US"/>
        </w:rPr>
        <w:t>General rule: no full stop after abbreviation if last letter is last letter of full word, e.g. Dr, Mr, St. (contrary to US English)</w:t>
      </w:r>
    </w:p>
    <w:p w:rsidR="00230E51" w:rsidRPr="009C4EE2" w:rsidRDefault="00230E51" w:rsidP="00230E51">
      <w:pPr>
        <w:autoSpaceDE w:val="0"/>
        <w:autoSpaceDN w:val="0"/>
        <w:jc w:val="both"/>
        <w:rPr>
          <w:sz w:val="22"/>
          <w:szCs w:val="22"/>
          <w:lang w:val="en-US"/>
        </w:rPr>
      </w:pPr>
      <w:r w:rsidRPr="009C4EE2">
        <w:rPr>
          <w:sz w:val="22"/>
          <w:szCs w:val="22"/>
          <w:lang w:val="en-US"/>
        </w:rPr>
        <w:t>e.g.</w:t>
      </w:r>
    </w:p>
    <w:p w:rsidR="00230E51" w:rsidRPr="009C4EE2" w:rsidRDefault="00230E51" w:rsidP="00230E51">
      <w:pPr>
        <w:autoSpaceDE w:val="0"/>
        <w:autoSpaceDN w:val="0"/>
        <w:jc w:val="both"/>
        <w:rPr>
          <w:sz w:val="22"/>
          <w:szCs w:val="22"/>
          <w:lang w:val="en-US"/>
        </w:rPr>
      </w:pPr>
      <w:r w:rsidRPr="009C4EE2">
        <w:rPr>
          <w:sz w:val="22"/>
          <w:szCs w:val="22"/>
          <w:lang w:val="en-US"/>
        </w:rPr>
        <w:t>i.e.</w:t>
      </w:r>
    </w:p>
    <w:p w:rsidR="00230E51" w:rsidRPr="009C4EE2" w:rsidRDefault="00230E51" w:rsidP="00230E51">
      <w:pPr>
        <w:autoSpaceDE w:val="0"/>
        <w:autoSpaceDN w:val="0"/>
        <w:jc w:val="both"/>
        <w:rPr>
          <w:sz w:val="22"/>
          <w:szCs w:val="22"/>
          <w:lang w:val="en-US"/>
        </w:rPr>
      </w:pPr>
      <w:r w:rsidRPr="009C4EE2">
        <w:rPr>
          <w:sz w:val="22"/>
          <w:szCs w:val="22"/>
          <w:lang w:val="en-US"/>
        </w:rPr>
        <w:t>cf.</w:t>
      </w:r>
    </w:p>
    <w:p w:rsidR="00230E51" w:rsidRPr="009C4EE2" w:rsidRDefault="00230E51" w:rsidP="00230E51">
      <w:pPr>
        <w:autoSpaceDE w:val="0"/>
        <w:autoSpaceDN w:val="0"/>
        <w:jc w:val="both"/>
        <w:rPr>
          <w:sz w:val="22"/>
          <w:szCs w:val="22"/>
          <w:lang w:val="en-US"/>
        </w:rPr>
      </w:pPr>
      <w:r w:rsidRPr="009C4EE2">
        <w:rPr>
          <w:sz w:val="22"/>
          <w:szCs w:val="22"/>
          <w:lang w:val="en-US"/>
        </w:rPr>
        <w:t>Co.</w:t>
      </w:r>
    </w:p>
    <w:p w:rsidR="00230E51" w:rsidRPr="009C4EE2" w:rsidRDefault="00230E51" w:rsidP="00230E51">
      <w:pPr>
        <w:autoSpaceDE w:val="0"/>
        <w:autoSpaceDN w:val="0"/>
        <w:jc w:val="both"/>
        <w:rPr>
          <w:sz w:val="22"/>
          <w:szCs w:val="22"/>
          <w:lang w:val="en-US"/>
        </w:rPr>
      </w:pPr>
      <w:r w:rsidRPr="009C4EE2">
        <w:rPr>
          <w:sz w:val="22"/>
          <w:szCs w:val="22"/>
          <w:lang w:val="en-US"/>
        </w:rPr>
        <w:t>Ltd</w:t>
      </w:r>
    </w:p>
    <w:p w:rsidR="00230E51" w:rsidRPr="009C4EE2" w:rsidRDefault="00230E51" w:rsidP="00230E51">
      <w:pPr>
        <w:autoSpaceDE w:val="0"/>
        <w:autoSpaceDN w:val="0"/>
        <w:jc w:val="both"/>
        <w:rPr>
          <w:sz w:val="22"/>
          <w:szCs w:val="22"/>
          <w:lang w:val="en-US"/>
        </w:rPr>
      </w:pPr>
      <w:r w:rsidRPr="009C4EE2">
        <w:rPr>
          <w:sz w:val="22"/>
          <w:szCs w:val="22"/>
          <w:lang w:val="en-US"/>
        </w:rPr>
        <w:t>Mr/Mrs</w:t>
      </w:r>
    </w:p>
    <w:p w:rsidR="00230E51" w:rsidRPr="009C4EE2" w:rsidRDefault="00230E51" w:rsidP="00230E51">
      <w:pPr>
        <w:autoSpaceDE w:val="0"/>
        <w:autoSpaceDN w:val="0"/>
        <w:jc w:val="both"/>
        <w:rPr>
          <w:sz w:val="22"/>
          <w:szCs w:val="22"/>
          <w:lang w:val="en-US"/>
        </w:rPr>
      </w:pPr>
      <w:r w:rsidRPr="009C4EE2">
        <w:rPr>
          <w:i/>
          <w:sz w:val="22"/>
          <w:szCs w:val="22"/>
          <w:lang w:val="en-US"/>
        </w:rPr>
        <w:t>Viz</w:t>
      </w:r>
    </w:p>
    <w:p w:rsidR="00230E51" w:rsidRPr="009C4EE2" w:rsidRDefault="00230E51" w:rsidP="00230E51">
      <w:pPr>
        <w:autoSpaceDE w:val="0"/>
        <w:autoSpaceDN w:val="0"/>
        <w:jc w:val="both"/>
        <w:rPr>
          <w:sz w:val="22"/>
          <w:szCs w:val="22"/>
          <w:lang w:val="en-US"/>
        </w:rPr>
      </w:pPr>
      <w:r w:rsidRPr="009C4EE2">
        <w:rPr>
          <w:sz w:val="22"/>
          <w:szCs w:val="22"/>
          <w:lang w:val="en-US"/>
        </w:rPr>
        <w:t>plc</w:t>
      </w:r>
    </w:p>
    <w:p w:rsidR="00230E51" w:rsidRPr="009C4EE2" w:rsidRDefault="00230E51" w:rsidP="00230E51">
      <w:pPr>
        <w:autoSpaceDE w:val="0"/>
        <w:autoSpaceDN w:val="0"/>
        <w:jc w:val="both"/>
        <w:rPr>
          <w:sz w:val="22"/>
          <w:szCs w:val="22"/>
          <w:lang w:val="en-US"/>
        </w:rPr>
      </w:pPr>
      <w:r w:rsidRPr="009C4EE2">
        <w:rPr>
          <w:sz w:val="22"/>
          <w:szCs w:val="22"/>
          <w:lang w:val="en-US"/>
        </w:rPr>
        <w:t>etc. (with comma before when used in a list)</w:t>
      </w:r>
    </w:p>
    <w:p w:rsidR="00230E51" w:rsidRPr="009C4EE2" w:rsidRDefault="00230E51" w:rsidP="00230E51">
      <w:pPr>
        <w:autoSpaceDE w:val="0"/>
        <w:autoSpaceDN w:val="0"/>
        <w:jc w:val="both"/>
        <w:rPr>
          <w:i/>
          <w:sz w:val="22"/>
          <w:szCs w:val="22"/>
          <w:lang w:val="en-US"/>
        </w:rPr>
      </w:pPr>
      <w:r w:rsidRPr="009C4EE2">
        <w:rPr>
          <w:i/>
          <w:sz w:val="22"/>
          <w:szCs w:val="22"/>
          <w:lang w:val="en-US"/>
        </w:rPr>
        <w:t>ibid.</w:t>
      </w:r>
    </w:p>
    <w:p w:rsidR="00230E51" w:rsidRPr="009C4EE2" w:rsidRDefault="00230E51" w:rsidP="00230E51">
      <w:pPr>
        <w:autoSpaceDE w:val="0"/>
        <w:autoSpaceDN w:val="0"/>
        <w:jc w:val="both"/>
        <w:rPr>
          <w:sz w:val="22"/>
          <w:szCs w:val="22"/>
          <w:lang w:val="en-US"/>
        </w:rPr>
      </w:pPr>
      <w:r w:rsidRPr="009C4EE2">
        <w:rPr>
          <w:sz w:val="22"/>
          <w:szCs w:val="22"/>
          <w:lang w:val="en-US"/>
        </w:rPr>
        <w:t>no.</w:t>
      </w:r>
      <w:r w:rsidRPr="009C4EE2">
        <w:rPr>
          <w:sz w:val="22"/>
          <w:szCs w:val="22"/>
          <w:lang w:val="en-US"/>
        </w:rPr>
        <w:tab/>
      </w:r>
      <w:r w:rsidRPr="009C4EE2">
        <w:rPr>
          <w:sz w:val="22"/>
          <w:szCs w:val="22"/>
          <w:lang w:val="en-US"/>
        </w:rPr>
        <w:tab/>
      </w:r>
    </w:p>
    <w:p w:rsidR="00230E51" w:rsidRPr="009C4EE2" w:rsidRDefault="00230E51" w:rsidP="00230E51">
      <w:pPr>
        <w:autoSpaceDE w:val="0"/>
        <w:autoSpaceDN w:val="0"/>
        <w:jc w:val="both"/>
        <w:rPr>
          <w:sz w:val="22"/>
          <w:szCs w:val="22"/>
          <w:lang w:val="en-US"/>
        </w:rPr>
      </w:pPr>
      <w:r w:rsidRPr="009C4EE2">
        <w:rPr>
          <w:sz w:val="22"/>
          <w:szCs w:val="22"/>
          <w:lang w:val="en-US"/>
        </w:rPr>
        <w:t>M.R. (Master of the Rolls)</w:t>
      </w:r>
    </w:p>
    <w:p w:rsidR="00230E51" w:rsidRPr="009C4EE2" w:rsidRDefault="00230E51" w:rsidP="00230E51">
      <w:pPr>
        <w:autoSpaceDE w:val="0"/>
        <w:autoSpaceDN w:val="0"/>
        <w:jc w:val="both"/>
        <w:rPr>
          <w:sz w:val="22"/>
          <w:szCs w:val="22"/>
          <w:lang w:val="en-US"/>
        </w:rPr>
      </w:pPr>
      <w:r w:rsidRPr="009C4EE2">
        <w:rPr>
          <w:sz w:val="22"/>
          <w:szCs w:val="22"/>
          <w:lang w:val="en-US"/>
        </w:rPr>
        <w:t>L.J. (Lord Justice)</w:t>
      </w:r>
    </w:p>
    <w:p w:rsidR="00230E51" w:rsidRPr="009C4EE2" w:rsidRDefault="00230E51" w:rsidP="00230E51">
      <w:pPr>
        <w:autoSpaceDE w:val="0"/>
        <w:autoSpaceDN w:val="0"/>
        <w:jc w:val="both"/>
        <w:rPr>
          <w:sz w:val="22"/>
          <w:szCs w:val="22"/>
          <w:lang w:val="en-US"/>
        </w:rPr>
      </w:pPr>
      <w:r w:rsidRPr="009C4EE2">
        <w:rPr>
          <w:sz w:val="22"/>
          <w:szCs w:val="22"/>
          <w:lang w:val="en-US"/>
        </w:rPr>
        <w:t>L.JJ. (Lords Justices)</w:t>
      </w:r>
    </w:p>
    <w:p w:rsidR="00230E51" w:rsidRPr="009C4EE2" w:rsidRDefault="00230E51" w:rsidP="00230E51">
      <w:pPr>
        <w:autoSpaceDE w:val="0"/>
        <w:autoSpaceDN w:val="0"/>
        <w:jc w:val="both"/>
        <w:rPr>
          <w:sz w:val="22"/>
          <w:szCs w:val="22"/>
          <w:lang w:val="en-US"/>
        </w:rPr>
      </w:pPr>
      <w:r w:rsidRPr="009C4EE2">
        <w:rPr>
          <w:sz w:val="22"/>
          <w:szCs w:val="22"/>
          <w:lang w:val="en-US"/>
        </w:rPr>
        <w:t>Q.C.</w:t>
      </w:r>
    </w:p>
    <w:p w:rsidR="00230E51" w:rsidRPr="009C4EE2" w:rsidRDefault="00230E51" w:rsidP="00230E51">
      <w:pPr>
        <w:autoSpaceDE w:val="0"/>
        <w:autoSpaceDN w:val="0"/>
        <w:jc w:val="both"/>
        <w:rPr>
          <w:sz w:val="22"/>
          <w:szCs w:val="22"/>
          <w:lang w:val="en-US"/>
        </w:rPr>
      </w:pPr>
      <w:r w:rsidRPr="009C4EE2">
        <w:rPr>
          <w:sz w:val="22"/>
          <w:szCs w:val="22"/>
          <w:lang w:val="en-US"/>
        </w:rPr>
        <w:t>J. (Mr/s Justice)</w:t>
      </w:r>
    </w:p>
    <w:p w:rsidR="00230E51" w:rsidRPr="009C4EE2" w:rsidRDefault="00230E51" w:rsidP="00230E51">
      <w:pPr>
        <w:autoSpaceDE w:val="0"/>
        <w:autoSpaceDN w:val="0"/>
        <w:jc w:val="both"/>
        <w:rPr>
          <w:sz w:val="22"/>
          <w:szCs w:val="22"/>
          <w:lang w:val="en-US"/>
        </w:rPr>
      </w:pPr>
      <w:r w:rsidRPr="009C4EE2">
        <w:rPr>
          <w:sz w:val="22"/>
          <w:szCs w:val="22"/>
          <w:lang w:val="en-US"/>
        </w:rPr>
        <w:t>Dr</w:t>
      </w:r>
    </w:p>
    <w:p w:rsidR="00230E51" w:rsidRPr="009C4EE2" w:rsidRDefault="00230E51" w:rsidP="00230E51">
      <w:pPr>
        <w:autoSpaceDE w:val="0"/>
        <w:autoSpaceDN w:val="0"/>
        <w:jc w:val="both"/>
        <w:rPr>
          <w:sz w:val="22"/>
          <w:szCs w:val="22"/>
          <w:lang w:val="en-US"/>
        </w:rPr>
      </w:pPr>
      <w:r w:rsidRPr="009C4EE2">
        <w:rPr>
          <w:sz w:val="22"/>
          <w:szCs w:val="22"/>
          <w:lang w:val="en-US"/>
        </w:rPr>
        <w:t>St (Saint of Street)</w:t>
      </w:r>
    </w:p>
    <w:p w:rsidR="00230E51" w:rsidRPr="009C4EE2" w:rsidRDefault="00230E51" w:rsidP="00230E51">
      <w:pPr>
        <w:autoSpaceDE w:val="0"/>
        <w:autoSpaceDN w:val="0"/>
        <w:jc w:val="both"/>
        <w:rPr>
          <w:sz w:val="22"/>
          <w:szCs w:val="22"/>
          <w:lang w:val="en-US"/>
        </w:rPr>
      </w:pPr>
      <w:r w:rsidRPr="009C4EE2">
        <w:rPr>
          <w:sz w:val="22"/>
          <w:szCs w:val="22"/>
          <w:lang w:val="en-US"/>
        </w:rPr>
        <w:t>UNESCO</w:t>
      </w:r>
    </w:p>
    <w:p w:rsidR="00230E51" w:rsidRPr="009C4EE2" w:rsidRDefault="00230E51" w:rsidP="00230E51">
      <w:pPr>
        <w:autoSpaceDE w:val="0"/>
        <w:autoSpaceDN w:val="0"/>
        <w:jc w:val="both"/>
        <w:rPr>
          <w:sz w:val="22"/>
          <w:szCs w:val="22"/>
          <w:lang w:val="en-US"/>
        </w:rPr>
      </w:pPr>
      <w:r w:rsidRPr="009C4EE2">
        <w:rPr>
          <w:sz w:val="22"/>
          <w:szCs w:val="22"/>
          <w:lang w:val="en-US"/>
        </w:rPr>
        <w:t>UNIDROIT</w:t>
      </w:r>
    </w:p>
    <w:p w:rsidR="00230E51" w:rsidRPr="009C4EE2" w:rsidRDefault="00230E51" w:rsidP="00230E51">
      <w:pPr>
        <w:autoSpaceDE w:val="0"/>
        <w:autoSpaceDN w:val="0"/>
        <w:jc w:val="both"/>
        <w:rPr>
          <w:sz w:val="22"/>
          <w:szCs w:val="22"/>
          <w:lang w:val="en-US"/>
        </w:rPr>
      </w:pPr>
      <w:r w:rsidRPr="009C4EE2">
        <w:rPr>
          <w:sz w:val="22"/>
          <w:szCs w:val="22"/>
          <w:lang w:val="en-US"/>
        </w:rPr>
        <w:t>UK (when used as adjective; as noun, write in full)</w:t>
      </w:r>
    </w:p>
    <w:p w:rsidR="00230E51" w:rsidRPr="009C4EE2" w:rsidRDefault="00230E51" w:rsidP="00230E51">
      <w:pPr>
        <w:autoSpaceDE w:val="0"/>
        <w:autoSpaceDN w:val="0"/>
        <w:jc w:val="both"/>
        <w:rPr>
          <w:sz w:val="22"/>
          <w:szCs w:val="22"/>
          <w:lang w:val="en-US"/>
        </w:rPr>
      </w:pPr>
      <w:r w:rsidRPr="009C4EE2">
        <w:rPr>
          <w:sz w:val="22"/>
          <w:szCs w:val="22"/>
          <w:lang w:val="en-US"/>
        </w:rPr>
        <w:t>US (when used as adjective; as noun, write in full)</w:t>
      </w:r>
    </w:p>
    <w:p w:rsidR="00230E51" w:rsidRPr="009C4EE2" w:rsidRDefault="00230E51" w:rsidP="00230E51">
      <w:pPr>
        <w:rPr>
          <w:sz w:val="22"/>
          <w:szCs w:val="22"/>
          <w:lang w:val="en-US"/>
        </w:rPr>
      </w:pPr>
    </w:p>
    <w:p w:rsidR="00230E51" w:rsidRPr="009C4EE2" w:rsidRDefault="00230E51" w:rsidP="00230E51">
      <w:pPr>
        <w:rPr>
          <w:sz w:val="22"/>
          <w:szCs w:val="22"/>
          <w:lang w:val="en-US"/>
        </w:rPr>
      </w:pPr>
    </w:p>
    <w:p w:rsidR="00230E51" w:rsidRPr="009C4EE2" w:rsidRDefault="00230E51" w:rsidP="00230E51">
      <w:pPr>
        <w:pStyle w:val="Heading3"/>
        <w:rPr>
          <w:sz w:val="22"/>
          <w:szCs w:val="22"/>
        </w:rPr>
      </w:pPr>
      <w:r w:rsidRPr="009C4EE2">
        <w:rPr>
          <w:sz w:val="22"/>
          <w:szCs w:val="22"/>
        </w:rPr>
        <w:t>PUNCTUATION</w:t>
      </w:r>
    </w:p>
    <w:p w:rsidR="00230E51" w:rsidRPr="009C4EE2" w:rsidRDefault="00230E51" w:rsidP="00230E51">
      <w:pPr>
        <w:rPr>
          <w:sz w:val="22"/>
          <w:szCs w:val="22"/>
          <w:lang w:val="en-US"/>
        </w:rPr>
      </w:pPr>
    </w:p>
    <w:p w:rsidR="00230E51" w:rsidRPr="009C4EE2" w:rsidRDefault="00230E51" w:rsidP="00230E51">
      <w:pPr>
        <w:autoSpaceDE w:val="0"/>
        <w:autoSpaceDN w:val="0"/>
        <w:jc w:val="both"/>
        <w:rPr>
          <w:sz w:val="22"/>
          <w:szCs w:val="22"/>
          <w:lang w:val="en-US"/>
        </w:rPr>
      </w:pPr>
      <w:r w:rsidRPr="009C4EE2">
        <w:rPr>
          <w:sz w:val="22"/>
          <w:szCs w:val="22"/>
          <w:lang w:val="en-US"/>
        </w:rPr>
        <w:t>Double quote marks: for direct quotations only (quotes of three lines or more to be indented without quote marks)</w:t>
      </w:r>
    </w:p>
    <w:p w:rsidR="00230E51" w:rsidRPr="009C4EE2" w:rsidRDefault="00230E51" w:rsidP="00230E51">
      <w:pPr>
        <w:autoSpaceDE w:val="0"/>
        <w:autoSpaceDN w:val="0"/>
        <w:jc w:val="both"/>
        <w:rPr>
          <w:sz w:val="22"/>
          <w:szCs w:val="22"/>
          <w:lang w:val="en-US"/>
        </w:rPr>
      </w:pPr>
    </w:p>
    <w:p w:rsidR="00230E51" w:rsidRPr="009C4EE2" w:rsidRDefault="00230E51" w:rsidP="00230E51">
      <w:pPr>
        <w:autoSpaceDE w:val="0"/>
        <w:autoSpaceDN w:val="0"/>
        <w:jc w:val="both"/>
        <w:rPr>
          <w:sz w:val="22"/>
          <w:szCs w:val="22"/>
          <w:lang w:val="en-US"/>
        </w:rPr>
      </w:pPr>
      <w:r w:rsidRPr="009C4EE2">
        <w:rPr>
          <w:sz w:val="22"/>
          <w:szCs w:val="22"/>
          <w:lang w:val="en-US"/>
        </w:rPr>
        <w:t>Where clarifying text is inserted in a quotation, but was not part of the original quotation, use square brackets (round brackets only where text formed part of original quotation in parenthesis), e.g.:</w:t>
      </w:r>
    </w:p>
    <w:p w:rsidR="00230E51" w:rsidRPr="009C4EE2" w:rsidRDefault="00230E51" w:rsidP="00230E51">
      <w:pPr>
        <w:autoSpaceDE w:val="0"/>
        <w:autoSpaceDN w:val="0"/>
        <w:jc w:val="both"/>
        <w:rPr>
          <w:sz w:val="22"/>
          <w:szCs w:val="22"/>
          <w:lang w:val="en-US"/>
        </w:rPr>
      </w:pPr>
      <w:r w:rsidRPr="009C4EE2">
        <w:rPr>
          <w:sz w:val="22"/>
          <w:szCs w:val="22"/>
          <w:lang w:val="en-US"/>
        </w:rPr>
        <w:t>“Where clarifying text [not originally present] is inserted in a quotation … use square brackets”</w:t>
      </w:r>
    </w:p>
    <w:p w:rsidR="00230E51" w:rsidRPr="009C4EE2" w:rsidRDefault="00230E51" w:rsidP="00230E51">
      <w:pPr>
        <w:autoSpaceDE w:val="0"/>
        <w:autoSpaceDN w:val="0"/>
        <w:jc w:val="both"/>
        <w:rPr>
          <w:sz w:val="22"/>
          <w:szCs w:val="22"/>
          <w:lang w:val="en-US"/>
        </w:rPr>
      </w:pPr>
    </w:p>
    <w:p w:rsidR="00230E51" w:rsidRPr="009C4EE2" w:rsidRDefault="00230E51" w:rsidP="00230E51">
      <w:pPr>
        <w:autoSpaceDE w:val="0"/>
        <w:autoSpaceDN w:val="0"/>
        <w:jc w:val="both"/>
        <w:rPr>
          <w:sz w:val="22"/>
          <w:szCs w:val="22"/>
          <w:lang w:val="en-US"/>
        </w:rPr>
      </w:pPr>
      <w:r w:rsidRPr="009C4EE2">
        <w:rPr>
          <w:sz w:val="22"/>
          <w:szCs w:val="22"/>
          <w:lang w:val="en-US"/>
        </w:rPr>
        <w:t>Where quotation is inserted in text (i.e. is shorter than three lines) always start with lower case; if original quotation started with upper case, show this by putting first lower case letter in square brackets, e.g.: “[w]here quotation is inserted in text”.</w:t>
      </w:r>
    </w:p>
    <w:p w:rsidR="00230E51" w:rsidRPr="009C4EE2" w:rsidRDefault="00230E51" w:rsidP="00230E51">
      <w:pPr>
        <w:autoSpaceDE w:val="0"/>
        <w:autoSpaceDN w:val="0"/>
        <w:jc w:val="both"/>
        <w:rPr>
          <w:sz w:val="22"/>
          <w:szCs w:val="22"/>
          <w:lang w:val="en-US"/>
        </w:rPr>
      </w:pPr>
    </w:p>
    <w:p w:rsidR="00230E51" w:rsidRPr="009C4EE2" w:rsidRDefault="00230E51" w:rsidP="00230E51">
      <w:pPr>
        <w:autoSpaceDE w:val="0"/>
        <w:autoSpaceDN w:val="0"/>
        <w:jc w:val="both"/>
        <w:rPr>
          <w:sz w:val="22"/>
          <w:szCs w:val="22"/>
          <w:lang w:val="en-US"/>
        </w:rPr>
      </w:pPr>
      <w:r w:rsidRPr="009C4EE2">
        <w:rPr>
          <w:sz w:val="22"/>
          <w:szCs w:val="22"/>
          <w:lang w:val="en-US"/>
        </w:rPr>
        <w:t>Use full stop inside quotation marks only if the original quotation contained the full stop.</w:t>
      </w:r>
    </w:p>
    <w:p w:rsidR="00230E51" w:rsidRPr="009C4EE2" w:rsidRDefault="00230E51" w:rsidP="00230E51">
      <w:pPr>
        <w:autoSpaceDE w:val="0"/>
        <w:autoSpaceDN w:val="0"/>
        <w:jc w:val="both"/>
        <w:rPr>
          <w:sz w:val="22"/>
          <w:szCs w:val="22"/>
          <w:lang w:val="en-US"/>
        </w:rPr>
      </w:pPr>
    </w:p>
    <w:p w:rsidR="00230E51" w:rsidRPr="009C4EE2" w:rsidRDefault="00230E51" w:rsidP="00230E51">
      <w:pPr>
        <w:autoSpaceDE w:val="0"/>
        <w:autoSpaceDN w:val="0"/>
        <w:jc w:val="both"/>
        <w:rPr>
          <w:sz w:val="22"/>
          <w:szCs w:val="22"/>
          <w:lang w:val="en-US"/>
        </w:rPr>
      </w:pPr>
      <w:r w:rsidRPr="009C4EE2">
        <w:rPr>
          <w:sz w:val="22"/>
          <w:szCs w:val="22"/>
          <w:lang w:val="en-US"/>
        </w:rPr>
        <w:t>Single quote marks for:</w:t>
      </w:r>
    </w:p>
    <w:p w:rsidR="00230E51" w:rsidRPr="009C4EE2" w:rsidRDefault="00230E51" w:rsidP="00230E51">
      <w:pPr>
        <w:autoSpaceDE w:val="0"/>
        <w:autoSpaceDN w:val="0"/>
        <w:ind w:firstLine="720"/>
        <w:jc w:val="both"/>
        <w:rPr>
          <w:sz w:val="22"/>
          <w:szCs w:val="22"/>
          <w:lang w:val="en-US"/>
        </w:rPr>
      </w:pPr>
      <w:r w:rsidRPr="009C4EE2">
        <w:rPr>
          <w:sz w:val="22"/>
          <w:szCs w:val="22"/>
          <w:lang w:val="en-US"/>
        </w:rPr>
        <w:t>Use of words as ‘so-called’</w:t>
      </w:r>
    </w:p>
    <w:p w:rsidR="00230E51" w:rsidRPr="009C4EE2" w:rsidRDefault="00230E51" w:rsidP="00230E51">
      <w:pPr>
        <w:autoSpaceDE w:val="0"/>
        <w:autoSpaceDN w:val="0"/>
        <w:ind w:firstLine="720"/>
        <w:jc w:val="both"/>
        <w:rPr>
          <w:sz w:val="22"/>
          <w:szCs w:val="22"/>
          <w:lang w:val="en-US"/>
        </w:rPr>
      </w:pPr>
      <w:r w:rsidRPr="009C4EE2">
        <w:rPr>
          <w:sz w:val="22"/>
          <w:szCs w:val="22"/>
          <w:lang w:val="en-US"/>
        </w:rPr>
        <w:t>Some technical terms</w:t>
      </w:r>
    </w:p>
    <w:p w:rsidR="00230E51" w:rsidRPr="009C4EE2" w:rsidRDefault="00230E51" w:rsidP="00230E51">
      <w:pPr>
        <w:autoSpaceDE w:val="0"/>
        <w:autoSpaceDN w:val="0"/>
        <w:ind w:firstLine="720"/>
        <w:jc w:val="both"/>
        <w:rPr>
          <w:sz w:val="22"/>
          <w:szCs w:val="22"/>
          <w:lang w:val="en-US"/>
        </w:rPr>
      </w:pPr>
      <w:r w:rsidRPr="009C4EE2">
        <w:rPr>
          <w:sz w:val="22"/>
          <w:szCs w:val="22"/>
          <w:lang w:val="en-US"/>
        </w:rPr>
        <w:t>Titles of chapters and articles</w:t>
      </w:r>
    </w:p>
    <w:p w:rsidR="00230E51" w:rsidRPr="009C4EE2" w:rsidRDefault="00230E51" w:rsidP="00230E51">
      <w:pPr>
        <w:autoSpaceDE w:val="0"/>
        <w:autoSpaceDN w:val="0"/>
        <w:ind w:firstLine="720"/>
        <w:jc w:val="both"/>
        <w:rPr>
          <w:sz w:val="22"/>
          <w:szCs w:val="22"/>
          <w:lang w:val="en-US"/>
        </w:rPr>
      </w:pPr>
      <w:r w:rsidRPr="009C4EE2">
        <w:rPr>
          <w:sz w:val="22"/>
          <w:szCs w:val="22"/>
          <w:lang w:val="en-US"/>
        </w:rPr>
        <w:t>Quotations within direct quotations</w:t>
      </w:r>
    </w:p>
    <w:p w:rsidR="00230E51" w:rsidRPr="009C4EE2" w:rsidRDefault="00230E51" w:rsidP="00230E51">
      <w:pPr>
        <w:autoSpaceDE w:val="0"/>
        <w:autoSpaceDN w:val="0"/>
        <w:jc w:val="both"/>
        <w:rPr>
          <w:sz w:val="22"/>
          <w:szCs w:val="22"/>
          <w:lang w:val="en-US"/>
        </w:rPr>
      </w:pPr>
    </w:p>
    <w:p w:rsidR="00230E51" w:rsidRPr="009C4EE2" w:rsidRDefault="00230E51" w:rsidP="00230E51">
      <w:pPr>
        <w:autoSpaceDE w:val="0"/>
        <w:autoSpaceDN w:val="0"/>
        <w:jc w:val="both"/>
        <w:rPr>
          <w:sz w:val="22"/>
          <w:szCs w:val="22"/>
          <w:lang w:val="en-US"/>
        </w:rPr>
      </w:pPr>
      <w:r w:rsidRPr="009C4EE2">
        <w:rPr>
          <w:sz w:val="22"/>
          <w:szCs w:val="22"/>
          <w:lang w:val="en-US"/>
        </w:rPr>
        <w:t>Footnote numbers should be placed outside the punctuation, e.g footnote,</w:t>
      </w:r>
      <w:r w:rsidRPr="009C4EE2">
        <w:rPr>
          <w:sz w:val="22"/>
          <w:szCs w:val="22"/>
          <w:vertAlign w:val="superscript"/>
          <w:lang w:val="en-US"/>
        </w:rPr>
        <w:t>1</w:t>
      </w:r>
      <w:r w:rsidRPr="009C4EE2">
        <w:rPr>
          <w:sz w:val="22"/>
          <w:szCs w:val="22"/>
          <w:lang w:val="en-US"/>
        </w:rPr>
        <w:t xml:space="preserve"> and another.</w:t>
      </w:r>
      <w:r w:rsidRPr="009C4EE2">
        <w:rPr>
          <w:sz w:val="22"/>
          <w:szCs w:val="22"/>
          <w:vertAlign w:val="superscript"/>
          <w:lang w:val="en-US"/>
        </w:rPr>
        <w:t>2</w:t>
      </w:r>
      <w:r w:rsidRPr="009C4EE2">
        <w:rPr>
          <w:sz w:val="22"/>
          <w:szCs w:val="22"/>
          <w:lang w:val="en-US"/>
        </w:rPr>
        <w:t xml:space="preserve"> Or:</w:t>
      </w:r>
      <w:r w:rsidRPr="009C4EE2">
        <w:rPr>
          <w:sz w:val="22"/>
          <w:szCs w:val="22"/>
          <w:vertAlign w:val="superscript"/>
          <w:lang w:val="en-US"/>
        </w:rPr>
        <w:t>3</w:t>
      </w:r>
    </w:p>
    <w:p w:rsidR="00230E51" w:rsidRPr="009C4EE2" w:rsidRDefault="00230E51" w:rsidP="00230E51">
      <w:pPr>
        <w:autoSpaceDE w:val="0"/>
        <w:autoSpaceDN w:val="0"/>
        <w:jc w:val="both"/>
        <w:rPr>
          <w:sz w:val="22"/>
          <w:szCs w:val="22"/>
          <w:lang w:val="en-US"/>
        </w:rPr>
      </w:pPr>
    </w:p>
    <w:p w:rsidR="00230E51" w:rsidRPr="009C4EE2" w:rsidRDefault="00230E51" w:rsidP="00230E51">
      <w:pPr>
        <w:rPr>
          <w:sz w:val="22"/>
          <w:szCs w:val="22"/>
          <w:lang w:val="en-US"/>
        </w:rPr>
      </w:pPr>
      <w:r w:rsidRPr="009C4EE2">
        <w:rPr>
          <w:sz w:val="22"/>
          <w:szCs w:val="22"/>
          <w:lang w:val="en-US"/>
        </w:rPr>
        <w:t>Comma not used in lists before the word ‘and’ (unlike US English).</w:t>
      </w:r>
    </w:p>
    <w:p w:rsidR="00230E51" w:rsidRPr="009C4EE2" w:rsidRDefault="00230E51" w:rsidP="00230E51">
      <w:pPr>
        <w:autoSpaceDE w:val="0"/>
        <w:autoSpaceDN w:val="0"/>
        <w:jc w:val="both"/>
        <w:rPr>
          <w:sz w:val="22"/>
          <w:szCs w:val="22"/>
          <w:lang w:val="en-US"/>
        </w:rPr>
      </w:pPr>
    </w:p>
    <w:p w:rsidR="00230E51" w:rsidRPr="009C4EE2" w:rsidRDefault="00230E51" w:rsidP="00230E51">
      <w:pPr>
        <w:pStyle w:val="ListParagraph"/>
        <w:ind w:left="0"/>
        <w:jc w:val="both"/>
        <w:rPr>
          <w:rFonts w:ascii="Times New Roman" w:hAnsi="Times New Roman"/>
          <w:color w:val="auto"/>
          <w:sz w:val="22"/>
          <w:szCs w:val="22"/>
        </w:rPr>
      </w:pPr>
      <w:r w:rsidRPr="009C4EE2">
        <w:rPr>
          <w:rFonts w:ascii="Times New Roman" w:hAnsi="Times New Roman"/>
          <w:color w:val="auto"/>
          <w:sz w:val="22"/>
          <w:szCs w:val="22"/>
        </w:rPr>
        <w:t>Be careful about adjectival descriptors and hyphens - 'the painting dated from the nineteenth century' but 'a nineteenth-century painting'; 'proceedings were started by a third party' but 'third-party proceedings'</w:t>
      </w:r>
    </w:p>
    <w:p w:rsidR="00F9313B" w:rsidRPr="009C4EE2" w:rsidRDefault="00B42538" w:rsidP="008F5F39">
      <w:pPr>
        <w:rPr>
          <w:sz w:val="22"/>
          <w:szCs w:val="22"/>
          <w:lang w:val="en-US"/>
        </w:rPr>
      </w:pPr>
      <w:r w:rsidRPr="009C4EE2">
        <w:rPr>
          <w:b/>
          <w:sz w:val="22"/>
          <w:szCs w:val="22"/>
          <w:lang w:val="en-US"/>
        </w:rPr>
        <w:lastRenderedPageBreak/>
        <w:t>HEADINGS</w:t>
      </w:r>
    </w:p>
    <w:p w:rsidR="00B42538" w:rsidRPr="009C4EE2" w:rsidRDefault="00B42538" w:rsidP="008F5F39">
      <w:pPr>
        <w:rPr>
          <w:sz w:val="22"/>
          <w:szCs w:val="22"/>
          <w:lang w:val="en-US"/>
        </w:rPr>
      </w:pPr>
      <w:r w:rsidRPr="009C4EE2">
        <w:rPr>
          <w:sz w:val="22"/>
          <w:szCs w:val="22"/>
          <w:lang w:val="en-US"/>
        </w:rPr>
        <w:t xml:space="preserve">Levels of headings should be clearly indicated – this may be by use of numbering and lettering (e.g. I </w:t>
      </w:r>
      <w:r w:rsidRPr="009C4EE2">
        <w:rPr>
          <w:i/>
          <w:sz w:val="22"/>
          <w:szCs w:val="22"/>
          <w:lang w:val="en-US"/>
        </w:rPr>
        <w:t>(heading</w:t>
      </w:r>
      <w:r w:rsidRPr="009C4EE2">
        <w:rPr>
          <w:sz w:val="22"/>
          <w:szCs w:val="22"/>
          <w:lang w:val="en-US"/>
        </w:rPr>
        <w:t>), I.1, I.2 etc. (</w:t>
      </w:r>
      <w:r w:rsidRPr="009C4EE2">
        <w:rPr>
          <w:i/>
          <w:sz w:val="22"/>
          <w:szCs w:val="22"/>
          <w:lang w:val="en-US"/>
        </w:rPr>
        <w:t>sub-head 1</w:t>
      </w:r>
      <w:r w:rsidRPr="009C4EE2">
        <w:rPr>
          <w:sz w:val="22"/>
          <w:szCs w:val="22"/>
          <w:lang w:val="en-US"/>
        </w:rPr>
        <w:t>), I.1.a, I.1.b etc. (</w:t>
      </w:r>
      <w:r w:rsidRPr="009C4EE2">
        <w:rPr>
          <w:i/>
          <w:sz w:val="22"/>
          <w:szCs w:val="22"/>
          <w:lang w:val="en-US"/>
        </w:rPr>
        <w:t>sub-head 2</w:t>
      </w:r>
      <w:r w:rsidRPr="009C4EE2">
        <w:rPr>
          <w:sz w:val="22"/>
          <w:szCs w:val="22"/>
          <w:lang w:val="en-US"/>
        </w:rPr>
        <w:t>). Alternatively, bold, centring etc. may be used to differentiate levels of heading: much of this will be resolved at layout stage. Underlining should not be used.</w:t>
      </w:r>
    </w:p>
    <w:p w:rsidR="00B42538" w:rsidRPr="009C4EE2" w:rsidRDefault="00B42538" w:rsidP="008F5F39">
      <w:pPr>
        <w:rPr>
          <w:sz w:val="22"/>
          <w:szCs w:val="22"/>
          <w:lang w:val="en-US"/>
        </w:rPr>
      </w:pPr>
    </w:p>
    <w:p w:rsidR="00B42538" w:rsidRPr="009C4EE2" w:rsidRDefault="00B42538" w:rsidP="008F5F39">
      <w:pPr>
        <w:rPr>
          <w:sz w:val="22"/>
          <w:szCs w:val="22"/>
          <w:lang w:val="en-US"/>
        </w:rPr>
      </w:pPr>
      <w:r w:rsidRPr="009C4EE2">
        <w:rPr>
          <w:sz w:val="22"/>
          <w:szCs w:val="22"/>
          <w:lang w:val="en-US"/>
        </w:rPr>
        <w:t>Significant words within a heading should be capitalised.</w:t>
      </w:r>
    </w:p>
    <w:p w:rsidR="00B42538" w:rsidRPr="009C4EE2" w:rsidRDefault="00B42538" w:rsidP="008F5F39">
      <w:pPr>
        <w:rPr>
          <w:sz w:val="22"/>
          <w:szCs w:val="22"/>
          <w:lang w:val="en-US"/>
        </w:rPr>
      </w:pPr>
    </w:p>
    <w:p w:rsidR="00F54085" w:rsidRPr="009C4EE2" w:rsidRDefault="00F54085" w:rsidP="00F54085">
      <w:pPr>
        <w:pStyle w:val="Heading3"/>
        <w:rPr>
          <w:sz w:val="22"/>
          <w:szCs w:val="22"/>
        </w:rPr>
      </w:pPr>
      <w:r w:rsidRPr="009C4EE2">
        <w:rPr>
          <w:sz w:val="22"/>
          <w:szCs w:val="22"/>
        </w:rPr>
        <w:t>FOOTNOTES</w:t>
      </w:r>
    </w:p>
    <w:p w:rsidR="00F54085" w:rsidRPr="009C4EE2" w:rsidRDefault="00F54085" w:rsidP="00F54085">
      <w:pPr>
        <w:autoSpaceDE w:val="0"/>
        <w:autoSpaceDN w:val="0"/>
        <w:jc w:val="both"/>
        <w:rPr>
          <w:sz w:val="22"/>
          <w:szCs w:val="22"/>
          <w:lang w:val="en-US"/>
        </w:rPr>
      </w:pPr>
      <w:r w:rsidRPr="009C4EE2">
        <w:rPr>
          <w:sz w:val="22"/>
          <w:szCs w:val="22"/>
          <w:lang w:val="en-US"/>
        </w:rPr>
        <w:t>Full footnotes should be used, rather than end notes or other form of referencing.</w:t>
      </w:r>
    </w:p>
    <w:p w:rsidR="00F54085" w:rsidRPr="009C4EE2" w:rsidRDefault="00F54085" w:rsidP="00F54085">
      <w:pPr>
        <w:autoSpaceDE w:val="0"/>
        <w:autoSpaceDN w:val="0"/>
        <w:jc w:val="both"/>
        <w:rPr>
          <w:sz w:val="22"/>
          <w:szCs w:val="22"/>
          <w:lang w:val="en-US"/>
        </w:rPr>
      </w:pPr>
      <w:r w:rsidRPr="009C4EE2">
        <w:rPr>
          <w:sz w:val="22"/>
          <w:szCs w:val="22"/>
          <w:lang w:val="en-US"/>
        </w:rPr>
        <w:t>Full stop at end of note.</w:t>
      </w:r>
    </w:p>
    <w:p w:rsidR="00F54085" w:rsidRPr="009C4EE2" w:rsidRDefault="00F54085" w:rsidP="00F54085">
      <w:pPr>
        <w:autoSpaceDE w:val="0"/>
        <w:autoSpaceDN w:val="0"/>
        <w:jc w:val="both"/>
        <w:rPr>
          <w:sz w:val="22"/>
          <w:szCs w:val="22"/>
          <w:lang w:val="en-US"/>
        </w:rPr>
      </w:pPr>
      <w:r w:rsidRPr="009C4EE2">
        <w:rPr>
          <w:sz w:val="22"/>
          <w:szCs w:val="22"/>
          <w:lang w:val="en-US"/>
        </w:rPr>
        <w:t>Start note with capital.</w:t>
      </w:r>
    </w:p>
    <w:p w:rsidR="00F54085" w:rsidRPr="009C4EE2" w:rsidRDefault="00F54085" w:rsidP="00F54085">
      <w:pPr>
        <w:autoSpaceDE w:val="0"/>
        <w:autoSpaceDN w:val="0"/>
        <w:jc w:val="both"/>
        <w:rPr>
          <w:sz w:val="22"/>
          <w:szCs w:val="22"/>
          <w:lang w:val="en-US"/>
        </w:rPr>
      </w:pPr>
      <w:r w:rsidRPr="009C4EE2">
        <w:rPr>
          <w:sz w:val="22"/>
          <w:szCs w:val="22"/>
          <w:lang w:val="en-US"/>
        </w:rPr>
        <w:t xml:space="preserve">References to material previously mentioned: </w:t>
      </w:r>
    </w:p>
    <w:p w:rsidR="00F54085" w:rsidRPr="009C4EE2" w:rsidRDefault="00F54085" w:rsidP="00F54085">
      <w:pPr>
        <w:autoSpaceDE w:val="0"/>
        <w:autoSpaceDN w:val="0"/>
        <w:jc w:val="both"/>
        <w:rPr>
          <w:sz w:val="22"/>
          <w:szCs w:val="22"/>
          <w:lang w:val="en-US"/>
        </w:rPr>
      </w:pPr>
      <w:r w:rsidRPr="009C4EE2">
        <w:rPr>
          <w:sz w:val="22"/>
          <w:szCs w:val="22"/>
          <w:lang w:val="en-US"/>
        </w:rPr>
        <w:tab/>
        <w:t xml:space="preserve">Where it is the same material as in the footnote immediately above, use </w:t>
      </w:r>
      <w:r w:rsidRPr="009C4EE2">
        <w:rPr>
          <w:i/>
          <w:sz w:val="22"/>
          <w:szCs w:val="22"/>
          <w:lang w:val="en-US"/>
        </w:rPr>
        <w:t>Ibid.</w:t>
      </w:r>
      <w:r w:rsidRPr="009C4EE2">
        <w:rPr>
          <w:sz w:val="22"/>
          <w:szCs w:val="22"/>
          <w:lang w:val="en-US"/>
        </w:rPr>
        <w:t xml:space="preserve">;  however, try to avoid </w:t>
      </w:r>
      <w:r w:rsidRPr="009C4EE2">
        <w:rPr>
          <w:i/>
          <w:sz w:val="22"/>
          <w:szCs w:val="22"/>
          <w:lang w:val="en-US"/>
        </w:rPr>
        <w:t xml:space="preserve">ibid </w:t>
      </w:r>
      <w:r w:rsidRPr="009C4EE2">
        <w:rPr>
          <w:sz w:val="22"/>
          <w:szCs w:val="22"/>
          <w:lang w:val="en-US"/>
        </w:rPr>
        <w:t>on its own: always quote page no. etc.</w:t>
      </w:r>
    </w:p>
    <w:p w:rsidR="00F54085" w:rsidRPr="009C4EE2" w:rsidRDefault="00F54085" w:rsidP="00F54085">
      <w:pPr>
        <w:autoSpaceDE w:val="0"/>
        <w:autoSpaceDN w:val="0"/>
        <w:jc w:val="both"/>
        <w:rPr>
          <w:sz w:val="22"/>
          <w:szCs w:val="22"/>
          <w:lang w:val="en-US"/>
        </w:rPr>
      </w:pPr>
      <w:r w:rsidRPr="009C4EE2">
        <w:rPr>
          <w:sz w:val="22"/>
          <w:szCs w:val="22"/>
          <w:lang w:val="en-US"/>
        </w:rPr>
        <w:tab/>
        <w:t xml:space="preserve">Where it is to a different page of the same material, use </w:t>
      </w:r>
      <w:r w:rsidRPr="009C4EE2">
        <w:rPr>
          <w:i/>
          <w:sz w:val="22"/>
          <w:szCs w:val="22"/>
          <w:lang w:val="en-US"/>
        </w:rPr>
        <w:t>Ibid.</w:t>
      </w:r>
      <w:r w:rsidRPr="009C4EE2">
        <w:rPr>
          <w:sz w:val="22"/>
          <w:szCs w:val="22"/>
          <w:lang w:val="en-US"/>
        </w:rPr>
        <w:t xml:space="preserve"> at p. 24.</w:t>
      </w:r>
    </w:p>
    <w:p w:rsidR="00F54085" w:rsidRPr="009C4EE2" w:rsidRDefault="00F54085" w:rsidP="00F54085">
      <w:pPr>
        <w:autoSpaceDE w:val="0"/>
        <w:autoSpaceDN w:val="0"/>
        <w:jc w:val="both"/>
        <w:rPr>
          <w:sz w:val="22"/>
          <w:szCs w:val="22"/>
          <w:lang w:val="en-US"/>
        </w:rPr>
      </w:pPr>
      <w:r w:rsidRPr="009C4EE2">
        <w:rPr>
          <w:sz w:val="22"/>
          <w:szCs w:val="22"/>
          <w:lang w:val="en-US"/>
        </w:rPr>
        <w:tab/>
        <w:t>Where it is to an article etc. mentioned elsewhere above, use P. Kineese, above, note 23.</w:t>
      </w:r>
    </w:p>
    <w:p w:rsidR="00F54085" w:rsidRPr="009C4EE2" w:rsidRDefault="00F54085" w:rsidP="00F54085">
      <w:pPr>
        <w:autoSpaceDE w:val="0"/>
        <w:autoSpaceDN w:val="0"/>
        <w:jc w:val="both"/>
        <w:rPr>
          <w:sz w:val="22"/>
          <w:szCs w:val="22"/>
          <w:lang w:val="en-US"/>
        </w:rPr>
      </w:pPr>
      <w:r w:rsidRPr="009C4EE2">
        <w:rPr>
          <w:sz w:val="22"/>
          <w:szCs w:val="22"/>
          <w:lang w:val="en-US"/>
        </w:rPr>
        <w:t>See e.g. …</w:t>
      </w:r>
    </w:p>
    <w:p w:rsidR="00F54085" w:rsidRPr="009C4EE2" w:rsidRDefault="00F54085" w:rsidP="00F54085">
      <w:pPr>
        <w:autoSpaceDE w:val="0"/>
        <w:autoSpaceDN w:val="0"/>
        <w:jc w:val="both"/>
        <w:rPr>
          <w:sz w:val="22"/>
          <w:szCs w:val="22"/>
          <w:lang w:val="en-US"/>
        </w:rPr>
      </w:pPr>
      <w:r w:rsidRPr="009C4EE2">
        <w:rPr>
          <w:sz w:val="22"/>
          <w:szCs w:val="22"/>
          <w:lang w:val="en-US"/>
        </w:rPr>
        <w:t>See generally …</w:t>
      </w:r>
    </w:p>
    <w:p w:rsidR="00F54085" w:rsidRPr="009C4EE2" w:rsidRDefault="00F54085" w:rsidP="00F54085">
      <w:pPr>
        <w:autoSpaceDE w:val="0"/>
        <w:autoSpaceDN w:val="0"/>
        <w:jc w:val="both"/>
        <w:rPr>
          <w:sz w:val="22"/>
          <w:szCs w:val="22"/>
          <w:lang w:val="en-US"/>
        </w:rPr>
      </w:pPr>
      <w:r w:rsidRPr="009C4EE2">
        <w:rPr>
          <w:sz w:val="22"/>
          <w:szCs w:val="22"/>
          <w:lang w:val="en-US"/>
        </w:rPr>
        <w:t>See further …</w:t>
      </w:r>
    </w:p>
    <w:p w:rsidR="00F54085" w:rsidRPr="009C4EE2" w:rsidRDefault="00F54085" w:rsidP="00F54085">
      <w:pPr>
        <w:autoSpaceDE w:val="0"/>
        <w:autoSpaceDN w:val="0"/>
        <w:jc w:val="both"/>
        <w:rPr>
          <w:sz w:val="22"/>
          <w:szCs w:val="22"/>
          <w:lang w:val="en-US"/>
        </w:rPr>
      </w:pPr>
      <w:r w:rsidRPr="009C4EE2">
        <w:rPr>
          <w:sz w:val="22"/>
          <w:szCs w:val="22"/>
          <w:lang w:val="en-US"/>
        </w:rPr>
        <w:t>See further e.g. …</w:t>
      </w:r>
    </w:p>
    <w:p w:rsidR="00F54085" w:rsidRPr="009C4EE2" w:rsidRDefault="00F54085" w:rsidP="00F54085">
      <w:pPr>
        <w:autoSpaceDE w:val="0"/>
        <w:autoSpaceDN w:val="0"/>
        <w:jc w:val="both"/>
        <w:rPr>
          <w:sz w:val="22"/>
          <w:szCs w:val="22"/>
          <w:lang w:val="en-US"/>
        </w:rPr>
      </w:pPr>
    </w:p>
    <w:p w:rsidR="00F54085" w:rsidRPr="009C4EE2" w:rsidRDefault="00F54085" w:rsidP="00F54085">
      <w:pPr>
        <w:autoSpaceDE w:val="0"/>
        <w:autoSpaceDN w:val="0"/>
        <w:jc w:val="both"/>
        <w:rPr>
          <w:sz w:val="22"/>
          <w:szCs w:val="22"/>
          <w:vertAlign w:val="superscript"/>
          <w:lang w:val="en-US"/>
        </w:rPr>
      </w:pPr>
      <w:r w:rsidRPr="009C4EE2">
        <w:rPr>
          <w:sz w:val="22"/>
          <w:szCs w:val="22"/>
          <w:lang w:val="en-US"/>
        </w:rPr>
        <w:t>In text, footnote numbers should be placed outside the punctuation, e.g footnote,</w:t>
      </w:r>
      <w:r w:rsidRPr="009C4EE2">
        <w:rPr>
          <w:sz w:val="22"/>
          <w:szCs w:val="22"/>
          <w:vertAlign w:val="superscript"/>
          <w:lang w:val="en-US"/>
        </w:rPr>
        <w:t>1</w:t>
      </w:r>
      <w:r w:rsidRPr="009C4EE2">
        <w:rPr>
          <w:sz w:val="22"/>
          <w:szCs w:val="22"/>
          <w:lang w:val="en-US"/>
        </w:rPr>
        <w:t xml:space="preserve"> and another.</w:t>
      </w:r>
      <w:r w:rsidRPr="009C4EE2">
        <w:rPr>
          <w:sz w:val="22"/>
          <w:szCs w:val="22"/>
          <w:vertAlign w:val="superscript"/>
          <w:lang w:val="en-US"/>
        </w:rPr>
        <w:t>2</w:t>
      </w:r>
      <w:r w:rsidRPr="009C4EE2">
        <w:rPr>
          <w:sz w:val="22"/>
          <w:szCs w:val="22"/>
          <w:lang w:val="en-US"/>
        </w:rPr>
        <w:t xml:space="preserve"> Or:</w:t>
      </w:r>
      <w:r w:rsidRPr="009C4EE2">
        <w:rPr>
          <w:sz w:val="22"/>
          <w:szCs w:val="22"/>
          <w:vertAlign w:val="superscript"/>
          <w:lang w:val="en-US"/>
        </w:rPr>
        <w:t>3</w:t>
      </w:r>
    </w:p>
    <w:p w:rsidR="00F54085" w:rsidRPr="009C4EE2" w:rsidRDefault="00F54085" w:rsidP="00F54085">
      <w:pPr>
        <w:autoSpaceDE w:val="0"/>
        <w:autoSpaceDN w:val="0"/>
        <w:jc w:val="both"/>
        <w:rPr>
          <w:sz w:val="22"/>
          <w:szCs w:val="22"/>
          <w:lang w:val="en-US"/>
        </w:rPr>
      </w:pPr>
    </w:p>
    <w:p w:rsidR="00230E51" w:rsidRPr="009C4EE2" w:rsidRDefault="00230E51" w:rsidP="00230E51">
      <w:pPr>
        <w:pStyle w:val="Heading3"/>
        <w:rPr>
          <w:sz w:val="22"/>
          <w:szCs w:val="22"/>
        </w:rPr>
      </w:pPr>
      <w:r w:rsidRPr="009C4EE2">
        <w:rPr>
          <w:sz w:val="22"/>
          <w:szCs w:val="22"/>
        </w:rPr>
        <w:t xml:space="preserve">DATES </w:t>
      </w:r>
    </w:p>
    <w:p w:rsidR="00230E51" w:rsidRPr="009C4EE2" w:rsidRDefault="00230E51" w:rsidP="00230E51">
      <w:pPr>
        <w:autoSpaceDE w:val="0"/>
        <w:autoSpaceDN w:val="0"/>
        <w:jc w:val="both"/>
        <w:rPr>
          <w:sz w:val="22"/>
          <w:szCs w:val="22"/>
          <w:lang w:val="en-US"/>
        </w:rPr>
      </w:pPr>
      <w:r w:rsidRPr="009C4EE2">
        <w:rPr>
          <w:sz w:val="22"/>
          <w:szCs w:val="22"/>
          <w:lang w:val="en-US"/>
        </w:rPr>
        <w:t>Always day month year.  In text: 2</w:t>
      </w:r>
      <w:r w:rsidRPr="009C4EE2">
        <w:rPr>
          <w:sz w:val="22"/>
          <w:szCs w:val="22"/>
          <w:vertAlign w:val="superscript"/>
          <w:lang w:val="en-US"/>
        </w:rPr>
        <w:t>nd</w:t>
      </w:r>
      <w:r w:rsidRPr="009C4EE2">
        <w:rPr>
          <w:sz w:val="22"/>
          <w:szCs w:val="22"/>
          <w:lang w:val="en-US"/>
        </w:rPr>
        <w:t xml:space="preserve"> September 2011; in footnotes: 2 Sept. 2011. </w:t>
      </w:r>
    </w:p>
    <w:p w:rsidR="00230E51" w:rsidRPr="009C4EE2" w:rsidRDefault="00230E51" w:rsidP="00230E51">
      <w:pPr>
        <w:autoSpaceDE w:val="0"/>
        <w:autoSpaceDN w:val="0"/>
        <w:jc w:val="both"/>
        <w:rPr>
          <w:sz w:val="22"/>
          <w:szCs w:val="22"/>
          <w:lang w:val="en-US"/>
        </w:rPr>
      </w:pPr>
      <w:r w:rsidRPr="009C4EE2">
        <w:rPr>
          <w:sz w:val="22"/>
          <w:szCs w:val="22"/>
          <w:lang w:val="en-US"/>
        </w:rPr>
        <w:t xml:space="preserve">Newspaper references in footnotes: Author name, ‘Title of Article’  </w:t>
      </w:r>
      <w:r w:rsidRPr="009C4EE2">
        <w:rPr>
          <w:i/>
          <w:sz w:val="22"/>
          <w:szCs w:val="22"/>
          <w:lang w:val="en-US"/>
        </w:rPr>
        <w:t>Daily Telegraph</w:t>
      </w:r>
      <w:r w:rsidRPr="009C4EE2">
        <w:rPr>
          <w:sz w:val="22"/>
          <w:szCs w:val="22"/>
          <w:lang w:val="en-US"/>
        </w:rPr>
        <w:t xml:space="preserve"> 2 March 1997; </w:t>
      </w:r>
    </w:p>
    <w:p w:rsidR="00230E51" w:rsidRPr="009C4EE2" w:rsidRDefault="00230E51" w:rsidP="00230E51">
      <w:pPr>
        <w:autoSpaceDE w:val="0"/>
        <w:autoSpaceDN w:val="0"/>
        <w:jc w:val="both"/>
        <w:rPr>
          <w:sz w:val="22"/>
          <w:szCs w:val="22"/>
          <w:lang w:val="en-US"/>
        </w:rPr>
      </w:pPr>
      <w:r w:rsidRPr="009C4EE2">
        <w:rPr>
          <w:sz w:val="22"/>
          <w:szCs w:val="22"/>
          <w:lang w:val="en-US"/>
        </w:rPr>
        <w:t xml:space="preserve">Except where the newspaper ref is to a law report (as opposed to a news story: (1997) </w:t>
      </w:r>
      <w:r w:rsidRPr="009C4EE2">
        <w:rPr>
          <w:i/>
          <w:sz w:val="22"/>
          <w:szCs w:val="22"/>
          <w:lang w:val="en-US"/>
        </w:rPr>
        <w:t>The Times</w:t>
      </w:r>
      <w:r w:rsidRPr="009C4EE2">
        <w:rPr>
          <w:sz w:val="22"/>
          <w:szCs w:val="22"/>
          <w:lang w:val="en-US"/>
        </w:rPr>
        <w:t xml:space="preserve"> 12 Feb.)</w:t>
      </w:r>
    </w:p>
    <w:p w:rsidR="00230E51" w:rsidRPr="009C4EE2" w:rsidRDefault="00230E51" w:rsidP="00230E51">
      <w:pPr>
        <w:autoSpaceDE w:val="0"/>
        <w:autoSpaceDN w:val="0"/>
        <w:jc w:val="both"/>
        <w:rPr>
          <w:sz w:val="22"/>
          <w:szCs w:val="22"/>
          <w:lang w:val="en-US"/>
        </w:rPr>
      </w:pPr>
      <w:r w:rsidRPr="009C4EE2">
        <w:rPr>
          <w:sz w:val="22"/>
          <w:szCs w:val="22"/>
          <w:lang w:val="en-US"/>
        </w:rPr>
        <w:t>‘The’ Times but omit ‘The’ for all other newspapers.</w:t>
      </w:r>
    </w:p>
    <w:p w:rsidR="00230E51" w:rsidRPr="009C4EE2" w:rsidRDefault="00230E51" w:rsidP="00230E51">
      <w:pPr>
        <w:autoSpaceDE w:val="0"/>
        <w:autoSpaceDN w:val="0"/>
        <w:jc w:val="both"/>
        <w:rPr>
          <w:sz w:val="22"/>
          <w:szCs w:val="22"/>
          <w:lang w:val="en-US"/>
        </w:rPr>
      </w:pPr>
      <w:r w:rsidRPr="009C4EE2">
        <w:rPr>
          <w:sz w:val="22"/>
          <w:szCs w:val="22"/>
          <w:lang w:val="en-US"/>
        </w:rPr>
        <w:t>Months abbreviated in footnotes as follows: Jan., Feb., March, April, May, June, July, Aug., Sept., Oct., Nov., Dec.</w:t>
      </w:r>
    </w:p>
    <w:p w:rsidR="00230E51" w:rsidRPr="009C4EE2" w:rsidRDefault="00230E51" w:rsidP="00230E51">
      <w:pPr>
        <w:autoSpaceDE w:val="0"/>
        <w:autoSpaceDN w:val="0"/>
        <w:jc w:val="both"/>
        <w:rPr>
          <w:sz w:val="22"/>
          <w:szCs w:val="22"/>
          <w:lang w:val="en-US"/>
        </w:rPr>
      </w:pPr>
    </w:p>
    <w:p w:rsidR="00230E51" w:rsidRPr="009C4EE2" w:rsidRDefault="00230E51" w:rsidP="00230E51">
      <w:pPr>
        <w:autoSpaceDE w:val="0"/>
        <w:autoSpaceDN w:val="0"/>
        <w:jc w:val="both"/>
        <w:rPr>
          <w:sz w:val="22"/>
          <w:szCs w:val="22"/>
          <w:lang w:val="en-US"/>
        </w:rPr>
      </w:pPr>
      <w:r w:rsidRPr="009C4EE2">
        <w:rPr>
          <w:sz w:val="22"/>
          <w:szCs w:val="22"/>
          <w:lang w:val="en-US"/>
        </w:rPr>
        <w:t>A.D. 938</w:t>
      </w:r>
    </w:p>
    <w:p w:rsidR="00230E51" w:rsidRPr="009C4EE2" w:rsidRDefault="00230E51" w:rsidP="00230E51">
      <w:pPr>
        <w:autoSpaceDE w:val="0"/>
        <w:autoSpaceDN w:val="0"/>
        <w:jc w:val="both"/>
        <w:rPr>
          <w:sz w:val="22"/>
          <w:szCs w:val="22"/>
          <w:lang w:val="en-US"/>
        </w:rPr>
      </w:pPr>
      <w:r w:rsidRPr="009C4EE2">
        <w:rPr>
          <w:sz w:val="22"/>
          <w:szCs w:val="22"/>
          <w:lang w:val="en-US"/>
        </w:rPr>
        <w:t>1500 B.C.</w:t>
      </w:r>
    </w:p>
    <w:p w:rsidR="00230E51" w:rsidRPr="009C4EE2" w:rsidRDefault="00230E51" w:rsidP="00230E51">
      <w:pPr>
        <w:autoSpaceDE w:val="0"/>
        <w:autoSpaceDN w:val="0"/>
        <w:jc w:val="both"/>
        <w:rPr>
          <w:sz w:val="22"/>
          <w:szCs w:val="22"/>
          <w:lang w:val="en-US"/>
        </w:rPr>
      </w:pPr>
    </w:p>
    <w:p w:rsidR="00230E51" w:rsidRPr="009C4EE2" w:rsidRDefault="00230E51" w:rsidP="00230E51">
      <w:pPr>
        <w:pStyle w:val="Heading3"/>
        <w:rPr>
          <w:sz w:val="22"/>
          <w:szCs w:val="22"/>
        </w:rPr>
      </w:pPr>
      <w:r w:rsidRPr="009C4EE2">
        <w:rPr>
          <w:sz w:val="22"/>
          <w:szCs w:val="22"/>
        </w:rPr>
        <w:t>NUMBERS</w:t>
      </w:r>
    </w:p>
    <w:p w:rsidR="00230E51" w:rsidRPr="009C4EE2" w:rsidRDefault="00230E51" w:rsidP="00230E51">
      <w:pPr>
        <w:autoSpaceDE w:val="0"/>
        <w:autoSpaceDN w:val="0"/>
        <w:jc w:val="both"/>
        <w:rPr>
          <w:sz w:val="22"/>
          <w:szCs w:val="22"/>
          <w:lang w:val="en-US"/>
        </w:rPr>
      </w:pPr>
      <w:r w:rsidRPr="009C4EE2">
        <w:rPr>
          <w:sz w:val="22"/>
          <w:szCs w:val="22"/>
          <w:lang w:val="en-US"/>
        </w:rPr>
        <w:t>One to twenty in full; beyond that in digits (unless this would involve a mixture e.g. nineteen to 24 should be 19-24). E.g. nineteenth century, but 21</w:t>
      </w:r>
      <w:r w:rsidRPr="009C4EE2">
        <w:rPr>
          <w:sz w:val="22"/>
          <w:szCs w:val="22"/>
          <w:vertAlign w:val="superscript"/>
          <w:lang w:val="en-US"/>
        </w:rPr>
        <w:t>st</w:t>
      </w:r>
      <w:r w:rsidRPr="009C4EE2">
        <w:rPr>
          <w:sz w:val="22"/>
          <w:szCs w:val="22"/>
          <w:lang w:val="en-US"/>
        </w:rPr>
        <w:t xml:space="preserve"> century.</w:t>
      </w:r>
    </w:p>
    <w:p w:rsidR="00230E51" w:rsidRPr="009C4EE2" w:rsidRDefault="00230E51" w:rsidP="00230E51">
      <w:pPr>
        <w:autoSpaceDE w:val="0"/>
        <w:autoSpaceDN w:val="0"/>
        <w:jc w:val="both"/>
        <w:rPr>
          <w:sz w:val="22"/>
          <w:szCs w:val="22"/>
          <w:lang w:val="en-US"/>
        </w:rPr>
      </w:pPr>
      <w:r w:rsidRPr="009C4EE2">
        <w:rPr>
          <w:sz w:val="22"/>
          <w:szCs w:val="22"/>
          <w:lang w:val="en-US"/>
        </w:rPr>
        <w:t>Units of money, dates, measures as digits (e.g. 8 foot high fence).</w:t>
      </w:r>
    </w:p>
    <w:p w:rsidR="00230E51" w:rsidRPr="009C4EE2" w:rsidRDefault="00230E51" w:rsidP="00230E51">
      <w:pPr>
        <w:autoSpaceDE w:val="0"/>
        <w:autoSpaceDN w:val="0"/>
        <w:jc w:val="both"/>
        <w:rPr>
          <w:sz w:val="22"/>
          <w:szCs w:val="22"/>
          <w:lang w:val="en-US"/>
        </w:rPr>
      </w:pPr>
    </w:p>
    <w:p w:rsidR="00F54085" w:rsidRPr="009C4EE2" w:rsidRDefault="00F54085" w:rsidP="00F54085">
      <w:pPr>
        <w:autoSpaceDE w:val="0"/>
        <w:autoSpaceDN w:val="0"/>
        <w:jc w:val="both"/>
        <w:rPr>
          <w:sz w:val="22"/>
          <w:szCs w:val="22"/>
          <w:lang w:val="en-US"/>
        </w:rPr>
      </w:pPr>
    </w:p>
    <w:p w:rsidR="00F54085" w:rsidRPr="009C4EE2" w:rsidRDefault="00F54085" w:rsidP="00F54085">
      <w:pPr>
        <w:pStyle w:val="Heading3"/>
        <w:rPr>
          <w:sz w:val="22"/>
          <w:szCs w:val="22"/>
        </w:rPr>
      </w:pPr>
      <w:r w:rsidRPr="009C4EE2">
        <w:rPr>
          <w:sz w:val="22"/>
          <w:szCs w:val="22"/>
        </w:rPr>
        <w:t>BOOKS</w:t>
      </w:r>
    </w:p>
    <w:p w:rsidR="00F54085" w:rsidRPr="009C4EE2" w:rsidRDefault="00F54085" w:rsidP="00F54085">
      <w:pPr>
        <w:autoSpaceDE w:val="0"/>
        <w:autoSpaceDN w:val="0"/>
        <w:jc w:val="both"/>
        <w:rPr>
          <w:sz w:val="22"/>
          <w:szCs w:val="22"/>
          <w:lang w:val="en-US"/>
        </w:rPr>
      </w:pPr>
      <w:r w:rsidRPr="009C4EE2">
        <w:rPr>
          <w:sz w:val="22"/>
          <w:szCs w:val="22"/>
          <w:lang w:val="en-US"/>
        </w:rPr>
        <w:t>Name of author, followed by title of book in italics, edition, publisher and year of publication.</w:t>
      </w:r>
      <w:r w:rsidR="00F9313B" w:rsidRPr="009C4EE2">
        <w:rPr>
          <w:sz w:val="22"/>
          <w:szCs w:val="22"/>
          <w:lang w:val="en-US"/>
        </w:rPr>
        <w:t xml:space="preserve"> Place of publication not included.</w:t>
      </w:r>
    </w:p>
    <w:p w:rsidR="00835855" w:rsidRPr="009C4EE2" w:rsidRDefault="00835855" w:rsidP="00835855">
      <w:pPr>
        <w:autoSpaceDE w:val="0"/>
        <w:autoSpaceDN w:val="0"/>
        <w:jc w:val="both"/>
        <w:rPr>
          <w:sz w:val="22"/>
          <w:szCs w:val="22"/>
          <w:lang w:val="en-US"/>
        </w:rPr>
      </w:pPr>
      <w:r w:rsidRPr="009C4EE2">
        <w:rPr>
          <w:sz w:val="22"/>
          <w:szCs w:val="22"/>
          <w:lang w:val="en-US"/>
        </w:rPr>
        <w:t>In the footnotes, editor is abbreviated to ed., edition is abbreviated to edn.</w:t>
      </w:r>
    </w:p>
    <w:p w:rsidR="00835855" w:rsidRPr="009C4EE2" w:rsidRDefault="00835855" w:rsidP="00F54085">
      <w:pPr>
        <w:autoSpaceDE w:val="0"/>
        <w:autoSpaceDN w:val="0"/>
        <w:jc w:val="both"/>
        <w:rPr>
          <w:sz w:val="22"/>
          <w:szCs w:val="22"/>
          <w:lang w:val="en-US"/>
        </w:rPr>
      </w:pPr>
    </w:p>
    <w:p w:rsidR="00F54085" w:rsidRPr="009C4EE2" w:rsidRDefault="00F54085" w:rsidP="00F54085">
      <w:pPr>
        <w:autoSpaceDE w:val="0"/>
        <w:autoSpaceDN w:val="0"/>
        <w:ind w:firstLine="720"/>
        <w:jc w:val="both"/>
        <w:rPr>
          <w:sz w:val="22"/>
          <w:szCs w:val="22"/>
          <w:lang w:val="en-US"/>
        </w:rPr>
      </w:pPr>
      <w:r w:rsidRPr="009C4EE2">
        <w:rPr>
          <w:sz w:val="22"/>
          <w:szCs w:val="22"/>
          <w:lang w:val="en-US"/>
        </w:rPr>
        <w:t xml:space="preserve">Jack Russell, </w:t>
      </w:r>
      <w:r w:rsidRPr="009C4EE2">
        <w:rPr>
          <w:i/>
          <w:sz w:val="22"/>
          <w:szCs w:val="22"/>
          <w:lang w:val="en-US"/>
        </w:rPr>
        <w:t>The Rule of Dogs</w:t>
      </w:r>
      <w:r w:rsidRPr="009C4EE2">
        <w:rPr>
          <w:sz w:val="22"/>
          <w:szCs w:val="22"/>
          <w:lang w:val="en-US"/>
        </w:rPr>
        <w:t xml:space="preserve"> (3</w:t>
      </w:r>
      <w:r w:rsidRPr="009C4EE2">
        <w:rPr>
          <w:sz w:val="22"/>
          <w:szCs w:val="22"/>
          <w:vertAlign w:val="superscript"/>
          <w:lang w:val="en-US"/>
        </w:rPr>
        <w:t>rd</w:t>
      </w:r>
      <w:r w:rsidRPr="009C4EE2">
        <w:rPr>
          <w:sz w:val="22"/>
          <w:szCs w:val="22"/>
          <w:lang w:val="en-US"/>
        </w:rPr>
        <w:t xml:space="preserve"> edn, Institute of Art and Law, 2012) p. 31.</w:t>
      </w:r>
    </w:p>
    <w:p w:rsidR="00F54085" w:rsidRPr="009C4EE2" w:rsidRDefault="00F54085" w:rsidP="00F54085">
      <w:pPr>
        <w:autoSpaceDE w:val="0"/>
        <w:autoSpaceDN w:val="0"/>
        <w:ind w:firstLine="720"/>
        <w:jc w:val="both"/>
        <w:rPr>
          <w:sz w:val="22"/>
          <w:szCs w:val="22"/>
          <w:lang w:val="en-US"/>
        </w:rPr>
      </w:pPr>
      <w:r w:rsidRPr="009C4EE2">
        <w:rPr>
          <w:sz w:val="22"/>
          <w:szCs w:val="22"/>
          <w:lang w:val="en-US"/>
        </w:rPr>
        <w:t>P</w:t>
      </w:r>
      <w:r w:rsidR="00230E51" w:rsidRPr="009C4EE2">
        <w:rPr>
          <w:sz w:val="22"/>
          <w:szCs w:val="22"/>
          <w:lang w:val="en-US"/>
        </w:rPr>
        <w:t>ete</w:t>
      </w:r>
      <w:r w:rsidRPr="009C4EE2">
        <w:rPr>
          <w:sz w:val="22"/>
          <w:szCs w:val="22"/>
          <w:lang w:val="en-US"/>
        </w:rPr>
        <w:t xml:space="preserve"> Kineese (ed.), </w:t>
      </w:r>
      <w:r w:rsidRPr="009C4EE2">
        <w:rPr>
          <w:i/>
          <w:sz w:val="22"/>
          <w:szCs w:val="22"/>
          <w:lang w:val="en-US"/>
        </w:rPr>
        <w:t>Law for Dogs</w:t>
      </w:r>
      <w:r w:rsidRPr="009C4EE2">
        <w:rPr>
          <w:sz w:val="22"/>
          <w:szCs w:val="22"/>
          <w:lang w:val="en-US"/>
        </w:rPr>
        <w:t xml:space="preserve"> (2</w:t>
      </w:r>
      <w:r w:rsidRPr="009C4EE2">
        <w:rPr>
          <w:sz w:val="22"/>
          <w:szCs w:val="22"/>
          <w:vertAlign w:val="superscript"/>
          <w:lang w:val="en-US"/>
        </w:rPr>
        <w:t>nd</w:t>
      </w:r>
      <w:r w:rsidRPr="009C4EE2">
        <w:rPr>
          <w:sz w:val="22"/>
          <w:szCs w:val="22"/>
          <w:lang w:val="en-US"/>
        </w:rPr>
        <w:t xml:space="preserve"> edn, Institute of Art and Law, 2014) p. 246/ch. 3.</w:t>
      </w:r>
    </w:p>
    <w:p w:rsidR="00F54085" w:rsidRPr="009C4EE2" w:rsidRDefault="00F54085" w:rsidP="00F54085">
      <w:pPr>
        <w:autoSpaceDE w:val="0"/>
        <w:autoSpaceDN w:val="0"/>
        <w:jc w:val="both"/>
        <w:rPr>
          <w:sz w:val="22"/>
          <w:szCs w:val="22"/>
          <w:lang w:val="en-US"/>
        </w:rPr>
      </w:pPr>
    </w:p>
    <w:p w:rsidR="00F54085" w:rsidRPr="009C4EE2" w:rsidRDefault="00F54085" w:rsidP="00F54085">
      <w:pPr>
        <w:autoSpaceDE w:val="0"/>
        <w:autoSpaceDN w:val="0"/>
        <w:jc w:val="both"/>
        <w:rPr>
          <w:sz w:val="22"/>
          <w:szCs w:val="22"/>
          <w:lang w:val="en-US"/>
        </w:rPr>
      </w:pPr>
    </w:p>
    <w:p w:rsidR="00F54085" w:rsidRPr="009C4EE2" w:rsidRDefault="00F54085" w:rsidP="00F54085">
      <w:pPr>
        <w:autoSpaceDE w:val="0"/>
        <w:autoSpaceDN w:val="0"/>
        <w:jc w:val="both"/>
        <w:rPr>
          <w:sz w:val="22"/>
          <w:szCs w:val="22"/>
          <w:lang w:val="en-US"/>
        </w:rPr>
      </w:pPr>
      <w:r w:rsidRPr="009C4EE2">
        <w:rPr>
          <w:sz w:val="22"/>
          <w:szCs w:val="22"/>
          <w:lang w:val="en-US"/>
        </w:rPr>
        <w:t>Chapters in edited books:</w:t>
      </w:r>
    </w:p>
    <w:p w:rsidR="00F54085" w:rsidRPr="009C4EE2" w:rsidRDefault="00F9313B" w:rsidP="00F54085">
      <w:pPr>
        <w:autoSpaceDE w:val="0"/>
        <w:autoSpaceDN w:val="0"/>
        <w:jc w:val="both"/>
        <w:rPr>
          <w:sz w:val="22"/>
          <w:szCs w:val="22"/>
          <w:lang w:val="en-US"/>
        </w:rPr>
      </w:pPr>
      <w:r w:rsidRPr="009C4EE2">
        <w:rPr>
          <w:sz w:val="22"/>
          <w:szCs w:val="22"/>
          <w:lang w:val="en-US"/>
        </w:rPr>
        <w:t>A</w:t>
      </w:r>
      <w:r w:rsidR="00230E51" w:rsidRPr="009C4EE2">
        <w:rPr>
          <w:sz w:val="22"/>
          <w:szCs w:val="22"/>
          <w:lang w:val="en-US"/>
        </w:rPr>
        <w:t>l</w:t>
      </w:r>
      <w:r w:rsidR="00F54085" w:rsidRPr="009C4EE2">
        <w:rPr>
          <w:sz w:val="22"/>
          <w:szCs w:val="22"/>
          <w:lang w:val="en-US"/>
        </w:rPr>
        <w:t xml:space="preserve"> Sayshun, ‘Legitimate Use of Muzzles’ ch. 12 in P</w:t>
      </w:r>
      <w:r w:rsidRPr="009C4EE2">
        <w:rPr>
          <w:sz w:val="22"/>
          <w:szCs w:val="22"/>
          <w:lang w:val="en-US"/>
        </w:rPr>
        <w:t>ete</w:t>
      </w:r>
      <w:r w:rsidR="00F54085" w:rsidRPr="009C4EE2">
        <w:rPr>
          <w:sz w:val="22"/>
          <w:szCs w:val="22"/>
          <w:lang w:val="en-US"/>
        </w:rPr>
        <w:t xml:space="preserve"> Kineese, ed., </w:t>
      </w:r>
      <w:r w:rsidR="00F54085" w:rsidRPr="009C4EE2">
        <w:rPr>
          <w:i/>
          <w:sz w:val="22"/>
          <w:szCs w:val="22"/>
          <w:lang w:val="en-US"/>
        </w:rPr>
        <w:t>Law for Dogs</w:t>
      </w:r>
      <w:r w:rsidR="00F54085" w:rsidRPr="009C4EE2">
        <w:rPr>
          <w:sz w:val="22"/>
          <w:szCs w:val="22"/>
          <w:lang w:val="en-US"/>
        </w:rPr>
        <w:t xml:space="preserve"> (2</w:t>
      </w:r>
      <w:r w:rsidR="00F54085" w:rsidRPr="009C4EE2">
        <w:rPr>
          <w:sz w:val="22"/>
          <w:szCs w:val="22"/>
          <w:vertAlign w:val="superscript"/>
          <w:lang w:val="en-US"/>
        </w:rPr>
        <w:t>nd</w:t>
      </w:r>
      <w:r w:rsidR="00F54085" w:rsidRPr="009C4EE2">
        <w:rPr>
          <w:sz w:val="22"/>
          <w:szCs w:val="22"/>
          <w:lang w:val="en-US"/>
        </w:rPr>
        <w:t xml:space="preserve"> edn, Institute of Art and Law, 2014) pp. 123-143.</w:t>
      </w:r>
    </w:p>
    <w:p w:rsidR="00F54085" w:rsidRPr="009C4EE2" w:rsidRDefault="00F54085" w:rsidP="00F54085">
      <w:pPr>
        <w:autoSpaceDE w:val="0"/>
        <w:autoSpaceDN w:val="0"/>
        <w:jc w:val="both"/>
        <w:rPr>
          <w:sz w:val="22"/>
          <w:szCs w:val="22"/>
          <w:lang w:val="en-US"/>
        </w:rPr>
      </w:pPr>
    </w:p>
    <w:p w:rsidR="00F54085" w:rsidRPr="009C4EE2" w:rsidRDefault="00F54085" w:rsidP="00F54085">
      <w:pPr>
        <w:autoSpaceDE w:val="0"/>
        <w:autoSpaceDN w:val="0"/>
        <w:jc w:val="both"/>
        <w:rPr>
          <w:sz w:val="22"/>
          <w:szCs w:val="22"/>
          <w:lang w:val="en-US"/>
        </w:rPr>
      </w:pPr>
      <w:r w:rsidRPr="009C4EE2">
        <w:rPr>
          <w:sz w:val="22"/>
          <w:szCs w:val="22"/>
          <w:lang w:val="en-US"/>
        </w:rPr>
        <w:lastRenderedPageBreak/>
        <w:t>Chapters in same book:</w:t>
      </w:r>
    </w:p>
    <w:p w:rsidR="00F54085" w:rsidRPr="009C4EE2" w:rsidRDefault="00F9313B" w:rsidP="00F54085">
      <w:pPr>
        <w:autoSpaceDE w:val="0"/>
        <w:autoSpaceDN w:val="0"/>
        <w:jc w:val="both"/>
        <w:rPr>
          <w:sz w:val="22"/>
          <w:szCs w:val="22"/>
          <w:lang w:val="en-US"/>
        </w:rPr>
      </w:pPr>
      <w:r w:rsidRPr="009C4EE2">
        <w:rPr>
          <w:sz w:val="22"/>
          <w:szCs w:val="22"/>
          <w:lang w:val="en-US"/>
        </w:rPr>
        <w:t>Kay</w:t>
      </w:r>
      <w:r w:rsidR="00F54085" w:rsidRPr="009C4EE2">
        <w:rPr>
          <w:sz w:val="22"/>
          <w:szCs w:val="22"/>
          <w:lang w:val="en-US"/>
        </w:rPr>
        <w:t xml:space="preserve"> Nine, ‘Bones and their Location’ </w:t>
      </w:r>
      <w:r w:rsidR="009C4EE2" w:rsidRPr="009C4EE2">
        <w:rPr>
          <w:sz w:val="22"/>
          <w:szCs w:val="22"/>
          <w:lang w:val="en-US"/>
        </w:rPr>
        <w:t>in Kineese, above, note 5 at p. 59</w:t>
      </w:r>
      <w:r w:rsidR="00F54085" w:rsidRPr="009C4EE2">
        <w:rPr>
          <w:sz w:val="22"/>
          <w:szCs w:val="22"/>
          <w:lang w:val="en-US"/>
        </w:rPr>
        <w:t>.</w:t>
      </w:r>
    </w:p>
    <w:p w:rsidR="00F54085" w:rsidRPr="009C4EE2" w:rsidRDefault="00F54085" w:rsidP="00F54085">
      <w:pPr>
        <w:autoSpaceDE w:val="0"/>
        <w:autoSpaceDN w:val="0"/>
        <w:jc w:val="both"/>
        <w:rPr>
          <w:sz w:val="22"/>
          <w:szCs w:val="22"/>
          <w:lang w:val="en-US"/>
        </w:rPr>
      </w:pPr>
    </w:p>
    <w:p w:rsidR="00230E51" w:rsidRPr="009C4EE2" w:rsidRDefault="00230E51" w:rsidP="00230E51">
      <w:pPr>
        <w:autoSpaceDE w:val="0"/>
        <w:autoSpaceDN w:val="0"/>
        <w:jc w:val="both"/>
        <w:rPr>
          <w:sz w:val="22"/>
          <w:szCs w:val="22"/>
          <w:lang w:val="en-US"/>
        </w:rPr>
      </w:pPr>
      <w:r w:rsidRPr="009C4EE2">
        <w:rPr>
          <w:b/>
          <w:sz w:val="22"/>
          <w:szCs w:val="22"/>
          <w:lang w:val="en-US"/>
        </w:rPr>
        <w:t>PERIODICALS</w:t>
      </w:r>
    </w:p>
    <w:p w:rsidR="00230E51" w:rsidRPr="009C4EE2" w:rsidRDefault="00230E51" w:rsidP="00230E51">
      <w:pPr>
        <w:autoSpaceDE w:val="0"/>
        <w:autoSpaceDN w:val="0"/>
        <w:jc w:val="both"/>
        <w:rPr>
          <w:sz w:val="22"/>
          <w:szCs w:val="22"/>
          <w:lang w:val="en-US"/>
        </w:rPr>
      </w:pPr>
      <w:r w:rsidRPr="009C4EE2">
        <w:rPr>
          <w:sz w:val="22"/>
          <w:szCs w:val="22"/>
          <w:lang w:val="en-US"/>
        </w:rPr>
        <w:t>Name of the author, title of article in single quotes (not italics) followed by year and (if applicable) volume of the periodical, then title of the periodical in italics and page number: Frank Smith, ‘Art and Culture in the 21</w:t>
      </w:r>
      <w:r w:rsidRPr="009C4EE2">
        <w:rPr>
          <w:sz w:val="22"/>
          <w:szCs w:val="22"/>
          <w:vertAlign w:val="superscript"/>
          <w:lang w:val="en-US"/>
        </w:rPr>
        <w:t>st</w:t>
      </w:r>
      <w:r w:rsidRPr="009C4EE2">
        <w:rPr>
          <w:sz w:val="22"/>
          <w:szCs w:val="22"/>
          <w:lang w:val="en-US"/>
        </w:rPr>
        <w:t xml:space="preserve"> Century’ (2016) XXI </w:t>
      </w:r>
      <w:r w:rsidRPr="009C4EE2">
        <w:rPr>
          <w:i/>
          <w:sz w:val="22"/>
          <w:szCs w:val="22"/>
          <w:lang w:val="en-US"/>
        </w:rPr>
        <w:t>Art Antiquity and Law</w:t>
      </w:r>
      <w:r w:rsidRPr="009C4EE2">
        <w:rPr>
          <w:sz w:val="22"/>
          <w:szCs w:val="22"/>
          <w:lang w:val="en-US"/>
        </w:rPr>
        <w:t xml:space="preserve"> 54.</w:t>
      </w:r>
    </w:p>
    <w:p w:rsidR="00230E51" w:rsidRPr="009C4EE2" w:rsidRDefault="00230E51" w:rsidP="00230E51">
      <w:pPr>
        <w:autoSpaceDE w:val="0"/>
        <w:autoSpaceDN w:val="0"/>
        <w:jc w:val="both"/>
        <w:rPr>
          <w:sz w:val="22"/>
          <w:szCs w:val="22"/>
          <w:lang w:val="en-US"/>
        </w:rPr>
      </w:pPr>
      <w:r w:rsidRPr="009C4EE2">
        <w:rPr>
          <w:sz w:val="22"/>
          <w:szCs w:val="22"/>
          <w:lang w:val="en-US"/>
        </w:rPr>
        <w:t>Issue numbers of a periodical need not be cited where page numbers run through the whole year.</w:t>
      </w:r>
    </w:p>
    <w:p w:rsidR="00230E51" w:rsidRPr="009C4EE2" w:rsidRDefault="00230E51" w:rsidP="00230E51">
      <w:pPr>
        <w:autoSpaceDE w:val="0"/>
        <w:autoSpaceDN w:val="0"/>
        <w:jc w:val="both"/>
        <w:rPr>
          <w:sz w:val="22"/>
          <w:szCs w:val="22"/>
          <w:lang w:val="en-US"/>
        </w:rPr>
      </w:pPr>
    </w:p>
    <w:p w:rsidR="00230E51" w:rsidRPr="009C4EE2" w:rsidRDefault="00230E51" w:rsidP="00230E51">
      <w:pPr>
        <w:autoSpaceDE w:val="0"/>
        <w:autoSpaceDN w:val="0"/>
        <w:jc w:val="both"/>
        <w:rPr>
          <w:sz w:val="22"/>
          <w:szCs w:val="22"/>
          <w:lang w:val="en-US"/>
        </w:rPr>
      </w:pPr>
      <w:r w:rsidRPr="009C4EE2">
        <w:rPr>
          <w:b/>
          <w:sz w:val="22"/>
          <w:szCs w:val="22"/>
          <w:lang w:val="en-US"/>
        </w:rPr>
        <w:t>NEWSPAPERS</w:t>
      </w:r>
    </w:p>
    <w:p w:rsidR="00230E51" w:rsidRPr="009C4EE2" w:rsidRDefault="00230E51" w:rsidP="00230E51">
      <w:pPr>
        <w:autoSpaceDE w:val="0"/>
        <w:autoSpaceDN w:val="0"/>
        <w:jc w:val="both"/>
        <w:rPr>
          <w:sz w:val="22"/>
          <w:szCs w:val="22"/>
          <w:lang w:val="en-US"/>
        </w:rPr>
      </w:pPr>
      <w:r w:rsidRPr="009C4EE2">
        <w:rPr>
          <w:sz w:val="22"/>
          <w:szCs w:val="22"/>
          <w:lang w:val="en-US"/>
        </w:rPr>
        <w:t>Name of periodical in italics, followed by date (see below).Title of article in single quotes.</w:t>
      </w:r>
    </w:p>
    <w:p w:rsidR="00230E51" w:rsidRPr="009C4EE2" w:rsidRDefault="00230E51" w:rsidP="00230E51">
      <w:pPr>
        <w:autoSpaceDE w:val="0"/>
        <w:autoSpaceDN w:val="0"/>
        <w:jc w:val="both"/>
        <w:rPr>
          <w:sz w:val="22"/>
          <w:szCs w:val="22"/>
          <w:lang w:val="en-US"/>
        </w:rPr>
      </w:pPr>
      <w:r w:rsidRPr="009C4EE2">
        <w:rPr>
          <w:sz w:val="22"/>
          <w:szCs w:val="22"/>
          <w:lang w:val="en-US"/>
        </w:rPr>
        <w:t>‘</w:t>
      </w:r>
      <w:r w:rsidRPr="009C4EE2">
        <w:rPr>
          <w:i/>
          <w:sz w:val="22"/>
          <w:szCs w:val="22"/>
          <w:lang w:val="en-US"/>
        </w:rPr>
        <w:t>The’ Times</w:t>
      </w:r>
      <w:r w:rsidRPr="009C4EE2">
        <w:rPr>
          <w:sz w:val="22"/>
          <w:szCs w:val="22"/>
          <w:lang w:val="en-US"/>
        </w:rPr>
        <w:t xml:space="preserve"> but omit ‘The’ for all other newspapers (e.g. </w:t>
      </w:r>
      <w:r w:rsidRPr="009C4EE2">
        <w:rPr>
          <w:i/>
          <w:sz w:val="22"/>
          <w:szCs w:val="22"/>
          <w:lang w:val="en-US"/>
        </w:rPr>
        <w:t>Daily Telegraph, Guardian, Art Newspaper</w:t>
      </w:r>
      <w:r w:rsidRPr="009C4EE2">
        <w:rPr>
          <w:sz w:val="22"/>
          <w:szCs w:val="22"/>
          <w:lang w:val="en-US"/>
        </w:rPr>
        <w:t>).</w:t>
      </w:r>
    </w:p>
    <w:p w:rsidR="00F54085" w:rsidRPr="009C4EE2" w:rsidRDefault="00F54085" w:rsidP="00F54085">
      <w:pPr>
        <w:autoSpaceDE w:val="0"/>
        <w:autoSpaceDN w:val="0"/>
        <w:jc w:val="both"/>
        <w:rPr>
          <w:sz w:val="22"/>
          <w:szCs w:val="22"/>
          <w:lang w:val="en-US"/>
        </w:rPr>
      </w:pPr>
    </w:p>
    <w:p w:rsidR="00A04BFB" w:rsidRPr="009C4EE2" w:rsidRDefault="00A04BFB">
      <w:pPr>
        <w:pStyle w:val="Heading3"/>
        <w:rPr>
          <w:sz w:val="22"/>
          <w:szCs w:val="22"/>
        </w:rPr>
      </w:pPr>
      <w:r w:rsidRPr="009C4EE2">
        <w:rPr>
          <w:sz w:val="22"/>
          <w:szCs w:val="22"/>
        </w:rPr>
        <w:t>LAW REPORTS</w:t>
      </w:r>
    </w:p>
    <w:p w:rsidR="00A04BFB" w:rsidRPr="009C4EE2" w:rsidRDefault="00A04BFB">
      <w:pPr>
        <w:autoSpaceDE w:val="0"/>
        <w:autoSpaceDN w:val="0"/>
        <w:jc w:val="both"/>
        <w:rPr>
          <w:sz w:val="22"/>
          <w:szCs w:val="22"/>
          <w:lang w:val="en-US"/>
        </w:rPr>
      </w:pPr>
      <w:r w:rsidRPr="009C4EE2">
        <w:rPr>
          <w:sz w:val="22"/>
          <w:szCs w:val="22"/>
          <w:lang w:val="en-US"/>
        </w:rPr>
        <w:t xml:space="preserve">Italicised, with stop after v.  </w:t>
      </w:r>
    </w:p>
    <w:p w:rsidR="00A04BFB" w:rsidRPr="009C4EE2" w:rsidRDefault="00A04BFB">
      <w:pPr>
        <w:autoSpaceDE w:val="0"/>
        <w:autoSpaceDN w:val="0"/>
        <w:jc w:val="both"/>
        <w:rPr>
          <w:sz w:val="22"/>
          <w:szCs w:val="22"/>
          <w:lang w:val="en-US"/>
        </w:rPr>
      </w:pPr>
      <w:r w:rsidRPr="009C4EE2">
        <w:rPr>
          <w:sz w:val="22"/>
          <w:szCs w:val="22"/>
          <w:lang w:val="en-US"/>
        </w:rPr>
        <w:t>Stops in case citation.</w:t>
      </w:r>
    </w:p>
    <w:p w:rsidR="00A04BFB" w:rsidRPr="009C4EE2" w:rsidRDefault="00120C1F">
      <w:pPr>
        <w:autoSpaceDE w:val="0"/>
        <w:autoSpaceDN w:val="0"/>
        <w:jc w:val="both"/>
        <w:rPr>
          <w:sz w:val="22"/>
          <w:szCs w:val="22"/>
          <w:lang w:val="en-US"/>
        </w:rPr>
      </w:pPr>
      <w:r w:rsidRPr="009C4EE2">
        <w:rPr>
          <w:sz w:val="22"/>
          <w:szCs w:val="22"/>
          <w:lang w:val="en-US"/>
        </w:rPr>
        <w:t>Neutral citation or o</w:t>
      </w:r>
      <w:r w:rsidR="00A04BFB" w:rsidRPr="009C4EE2">
        <w:rPr>
          <w:sz w:val="22"/>
          <w:szCs w:val="22"/>
          <w:lang w:val="en-US"/>
        </w:rPr>
        <w:t>fficial report, if available, first.</w:t>
      </w:r>
    </w:p>
    <w:p w:rsidR="00A04BFB" w:rsidRPr="009C4EE2" w:rsidRDefault="00A04BFB">
      <w:pPr>
        <w:autoSpaceDE w:val="0"/>
        <w:autoSpaceDN w:val="0"/>
        <w:jc w:val="both"/>
        <w:rPr>
          <w:sz w:val="22"/>
          <w:szCs w:val="22"/>
          <w:lang w:val="en-US"/>
        </w:rPr>
      </w:pPr>
      <w:r w:rsidRPr="009C4EE2">
        <w:rPr>
          <w:i/>
          <w:sz w:val="22"/>
          <w:szCs w:val="22"/>
          <w:lang w:val="en-US"/>
        </w:rPr>
        <w:t xml:space="preserve">X v. Y </w:t>
      </w:r>
      <w:r w:rsidRPr="009C4EE2">
        <w:rPr>
          <w:sz w:val="22"/>
          <w:szCs w:val="22"/>
          <w:lang w:val="en-US"/>
        </w:rPr>
        <w:t>[1997] Q.B. 323, [1997] 1 All E.R. 29, C.A.</w:t>
      </w:r>
    </w:p>
    <w:p w:rsidR="00A04BFB" w:rsidRPr="009C4EE2" w:rsidRDefault="00A04BFB">
      <w:pPr>
        <w:autoSpaceDE w:val="0"/>
        <w:autoSpaceDN w:val="0"/>
        <w:jc w:val="both"/>
        <w:rPr>
          <w:sz w:val="22"/>
          <w:szCs w:val="22"/>
          <w:lang w:val="en-US"/>
        </w:rPr>
      </w:pPr>
    </w:p>
    <w:p w:rsidR="00A04BFB" w:rsidRPr="009C4EE2" w:rsidRDefault="00A04BFB">
      <w:pPr>
        <w:autoSpaceDE w:val="0"/>
        <w:autoSpaceDN w:val="0"/>
        <w:jc w:val="both"/>
        <w:rPr>
          <w:sz w:val="22"/>
          <w:szCs w:val="22"/>
          <w:lang w:val="en-US"/>
        </w:rPr>
      </w:pPr>
      <w:r w:rsidRPr="009C4EE2">
        <w:rPr>
          <w:sz w:val="22"/>
          <w:szCs w:val="22"/>
          <w:lang w:val="en-US"/>
        </w:rPr>
        <w:t>Citation from case:</w:t>
      </w:r>
    </w:p>
    <w:p w:rsidR="00A04BFB" w:rsidRPr="009C4EE2" w:rsidRDefault="00A04BFB">
      <w:pPr>
        <w:autoSpaceDE w:val="0"/>
        <w:autoSpaceDN w:val="0"/>
        <w:jc w:val="both"/>
        <w:rPr>
          <w:sz w:val="22"/>
          <w:szCs w:val="22"/>
          <w:lang w:val="en-US"/>
        </w:rPr>
      </w:pPr>
      <w:r w:rsidRPr="009C4EE2">
        <w:rPr>
          <w:i/>
          <w:sz w:val="22"/>
          <w:szCs w:val="22"/>
          <w:lang w:val="en-US"/>
        </w:rPr>
        <w:t>X v. Y</w:t>
      </w:r>
      <w:r w:rsidRPr="009C4EE2">
        <w:rPr>
          <w:sz w:val="22"/>
          <w:szCs w:val="22"/>
          <w:lang w:val="en-US"/>
        </w:rPr>
        <w:t xml:space="preserve"> </w:t>
      </w:r>
      <w:r w:rsidR="000F5CB1" w:rsidRPr="009C4EE2">
        <w:rPr>
          <w:sz w:val="22"/>
          <w:szCs w:val="22"/>
          <w:lang w:val="en-US"/>
        </w:rPr>
        <w:t xml:space="preserve">[2015] EWHC 1234 at para. [xx], </w:t>
      </w:r>
      <w:r w:rsidRPr="009C4EE2">
        <w:rPr>
          <w:sz w:val="22"/>
          <w:szCs w:val="22"/>
          <w:lang w:val="en-US"/>
        </w:rPr>
        <w:t>[</w:t>
      </w:r>
      <w:r w:rsidR="000F5CB1" w:rsidRPr="009C4EE2">
        <w:rPr>
          <w:sz w:val="22"/>
          <w:szCs w:val="22"/>
          <w:lang w:val="en-US"/>
        </w:rPr>
        <w:t>2015</w:t>
      </w:r>
      <w:r w:rsidRPr="009C4EE2">
        <w:rPr>
          <w:sz w:val="22"/>
          <w:szCs w:val="22"/>
          <w:lang w:val="en-US"/>
        </w:rPr>
        <w:t xml:space="preserve">] Q.B. 323 at 347 C.A. </w:t>
      </w:r>
      <w:r w:rsidRPr="009C4EE2">
        <w:rPr>
          <w:i/>
          <w:sz w:val="22"/>
          <w:szCs w:val="22"/>
          <w:lang w:val="en-US"/>
        </w:rPr>
        <w:t>per</w:t>
      </w:r>
      <w:r w:rsidRPr="009C4EE2">
        <w:rPr>
          <w:sz w:val="22"/>
          <w:szCs w:val="22"/>
          <w:lang w:val="en-US"/>
        </w:rPr>
        <w:t xml:space="preserve"> Bloggs J. (</w:t>
      </w:r>
      <w:r w:rsidRPr="009C4EE2">
        <w:rPr>
          <w:i/>
          <w:sz w:val="22"/>
          <w:szCs w:val="22"/>
          <w:lang w:val="en-US"/>
        </w:rPr>
        <w:t>per</w:t>
      </w:r>
      <w:r w:rsidRPr="009C4EE2">
        <w:rPr>
          <w:sz w:val="22"/>
          <w:szCs w:val="22"/>
          <w:lang w:val="en-US"/>
        </w:rPr>
        <w:t xml:space="preserve"> italicised, stop after J., L.J. etc.)</w:t>
      </w:r>
    </w:p>
    <w:p w:rsidR="00A04BFB" w:rsidRPr="009C4EE2" w:rsidRDefault="00A04BFB">
      <w:pPr>
        <w:autoSpaceDE w:val="0"/>
        <w:autoSpaceDN w:val="0"/>
        <w:jc w:val="both"/>
        <w:rPr>
          <w:sz w:val="22"/>
          <w:szCs w:val="22"/>
          <w:lang w:val="en-US"/>
        </w:rPr>
      </w:pPr>
    </w:p>
    <w:p w:rsidR="00A04BFB" w:rsidRPr="009C4EE2" w:rsidRDefault="00A04BFB">
      <w:pPr>
        <w:autoSpaceDE w:val="0"/>
        <w:autoSpaceDN w:val="0"/>
        <w:jc w:val="both"/>
        <w:rPr>
          <w:sz w:val="22"/>
          <w:szCs w:val="22"/>
          <w:lang w:val="en-US"/>
        </w:rPr>
      </w:pPr>
      <w:r w:rsidRPr="009C4EE2">
        <w:rPr>
          <w:sz w:val="22"/>
          <w:szCs w:val="22"/>
          <w:lang w:val="en-US"/>
        </w:rPr>
        <w:t>If unreported:</w:t>
      </w:r>
    </w:p>
    <w:p w:rsidR="00A04BFB" w:rsidRPr="009C4EE2" w:rsidRDefault="00A04BFB">
      <w:pPr>
        <w:autoSpaceDE w:val="0"/>
        <w:autoSpaceDN w:val="0"/>
        <w:jc w:val="both"/>
        <w:rPr>
          <w:sz w:val="22"/>
          <w:szCs w:val="22"/>
          <w:lang w:val="fr-FR"/>
        </w:rPr>
      </w:pPr>
      <w:r w:rsidRPr="009C4EE2">
        <w:rPr>
          <w:i/>
          <w:sz w:val="22"/>
          <w:szCs w:val="22"/>
          <w:lang w:val="fr-FR"/>
        </w:rPr>
        <w:t>X v. Y</w:t>
      </w:r>
      <w:r w:rsidRPr="009C4EE2">
        <w:rPr>
          <w:sz w:val="22"/>
          <w:szCs w:val="22"/>
          <w:lang w:val="fr-FR"/>
        </w:rPr>
        <w:t xml:space="preserve"> (</w:t>
      </w:r>
      <w:r w:rsidR="000F5CB1" w:rsidRPr="009C4EE2">
        <w:rPr>
          <w:sz w:val="22"/>
          <w:szCs w:val="22"/>
          <w:lang w:val="fr-FR"/>
        </w:rPr>
        <w:t>2014</w:t>
      </w:r>
      <w:r w:rsidRPr="009C4EE2">
        <w:rPr>
          <w:sz w:val="22"/>
          <w:szCs w:val="22"/>
          <w:lang w:val="fr-FR"/>
        </w:rPr>
        <w:t>) unrep., 8 Sept</w:t>
      </w:r>
      <w:r w:rsidR="00F54085" w:rsidRPr="009C4EE2">
        <w:rPr>
          <w:sz w:val="22"/>
          <w:szCs w:val="22"/>
          <w:lang w:val="fr-FR"/>
        </w:rPr>
        <w:t>.</w:t>
      </w:r>
      <w:r w:rsidRPr="009C4EE2">
        <w:rPr>
          <w:sz w:val="22"/>
          <w:szCs w:val="22"/>
          <w:lang w:val="fr-FR"/>
        </w:rPr>
        <w:t>, Q.B.D.</w:t>
      </w:r>
    </w:p>
    <w:p w:rsidR="00A04BFB" w:rsidRPr="009C4EE2" w:rsidRDefault="00A04BFB">
      <w:pPr>
        <w:autoSpaceDE w:val="0"/>
        <w:autoSpaceDN w:val="0"/>
        <w:jc w:val="both"/>
        <w:rPr>
          <w:sz w:val="22"/>
          <w:szCs w:val="22"/>
          <w:lang w:val="fr-FR"/>
        </w:rPr>
      </w:pPr>
    </w:p>
    <w:p w:rsidR="00A04BFB" w:rsidRPr="009C4EE2" w:rsidRDefault="00A04BFB">
      <w:pPr>
        <w:autoSpaceDE w:val="0"/>
        <w:autoSpaceDN w:val="0"/>
        <w:jc w:val="both"/>
        <w:rPr>
          <w:sz w:val="22"/>
          <w:szCs w:val="22"/>
          <w:lang w:val="en-US"/>
        </w:rPr>
      </w:pPr>
      <w:r w:rsidRPr="009C4EE2">
        <w:rPr>
          <w:i/>
          <w:sz w:val="22"/>
          <w:szCs w:val="22"/>
          <w:lang w:val="en-US"/>
        </w:rPr>
        <w:t>X v. Y</w:t>
      </w:r>
      <w:r w:rsidRPr="009C4EE2">
        <w:rPr>
          <w:sz w:val="22"/>
          <w:szCs w:val="22"/>
          <w:lang w:val="en-US"/>
        </w:rPr>
        <w:t xml:space="preserve"> (</w:t>
      </w:r>
      <w:r w:rsidR="000F5CB1" w:rsidRPr="009C4EE2">
        <w:rPr>
          <w:sz w:val="22"/>
          <w:szCs w:val="22"/>
          <w:lang w:val="en-US"/>
        </w:rPr>
        <w:t>2014</w:t>
      </w:r>
      <w:r w:rsidRPr="009C4EE2">
        <w:rPr>
          <w:sz w:val="22"/>
          <w:szCs w:val="22"/>
          <w:lang w:val="en-US"/>
        </w:rPr>
        <w:t xml:space="preserve">) </w:t>
      </w:r>
      <w:r w:rsidRPr="009C4EE2">
        <w:rPr>
          <w:i/>
          <w:sz w:val="22"/>
          <w:szCs w:val="22"/>
          <w:lang w:val="en-US"/>
        </w:rPr>
        <w:t>The Times</w:t>
      </w:r>
      <w:r w:rsidRPr="009C4EE2">
        <w:rPr>
          <w:sz w:val="22"/>
          <w:szCs w:val="22"/>
          <w:lang w:val="en-US"/>
        </w:rPr>
        <w:t xml:space="preserve"> 8 Sept</w:t>
      </w:r>
      <w:r w:rsidR="00F54085" w:rsidRPr="009C4EE2">
        <w:rPr>
          <w:sz w:val="22"/>
          <w:szCs w:val="22"/>
          <w:lang w:val="en-US"/>
        </w:rPr>
        <w:t>.</w:t>
      </w:r>
      <w:r w:rsidRPr="009C4EE2">
        <w:rPr>
          <w:sz w:val="22"/>
          <w:szCs w:val="22"/>
          <w:lang w:val="en-US"/>
        </w:rPr>
        <w:t>, H.L.</w:t>
      </w:r>
    </w:p>
    <w:p w:rsidR="00A04BFB" w:rsidRPr="009C4EE2" w:rsidRDefault="00A04BFB">
      <w:pPr>
        <w:autoSpaceDE w:val="0"/>
        <w:autoSpaceDN w:val="0"/>
        <w:jc w:val="both"/>
        <w:rPr>
          <w:sz w:val="22"/>
          <w:szCs w:val="22"/>
          <w:lang w:val="en-US"/>
        </w:rPr>
      </w:pPr>
    </w:p>
    <w:p w:rsidR="00A04BFB" w:rsidRPr="009C4EE2" w:rsidRDefault="00A04BFB">
      <w:pPr>
        <w:autoSpaceDE w:val="0"/>
        <w:autoSpaceDN w:val="0"/>
        <w:jc w:val="both"/>
        <w:rPr>
          <w:sz w:val="22"/>
          <w:szCs w:val="22"/>
          <w:lang w:val="en-US"/>
        </w:rPr>
      </w:pPr>
      <w:r w:rsidRPr="009C4EE2">
        <w:rPr>
          <w:sz w:val="22"/>
          <w:szCs w:val="22"/>
          <w:lang w:val="en-US"/>
        </w:rPr>
        <w:t>NB: American cases - date at end; always use ( … ) (rather than [ … ]).</w:t>
      </w:r>
    </w:p>
    <w:p w:rsidR="00A04BFB" w:rsidRPr="009C4EE2" w:rsidRDefault="00A04BFB">
      <w:pPr>
        <w:autoSpaceDE w:val="0"/>
        <w:autoSpaceDN w:val="0"/>
        <w:jc w:val="both"/>
        <w:rPr>
          <w:sz w:val="22"/>
          <w:szCs w:val="22"/>
          <w:lang w:val="en-US"/>
        </w:rPr>
      </w:pPr>
    </w:p>
    <w:p w:rsidR="00A04BFB" w:rsidRPr="009C4EE2" w:rsidRDefault="00A04BFB">
      <w:pPr>
        <w:pStyle w:val="Heading3"/>
        <w:rPr>
          <w:sz w:val="22"/>
          <w:szCs w:val="22"/>
        </w:rPr>
      </w:pPr>
      <w:r w:rsidRPr="009C4EE2">
        <w:rPr>
          <w:sz w:val="22"/>
          <w:szCs w:val="22"/>
        </w:rPr>
        <w:t>STATUTES</w:t>
      </w:r>
    </w:p>
    <w:p w:rsidR="00F9313B" w:rsidRPr="009C4EE2" w:rsidRDefault="00F9313B">
      <w:pPr>
        <w:autoSpaceDE w:val="0"/>
        <w:autoSpaceDN w:val="0"/>
        <w:jc w:val="both"/>
        <w:rPr>
          <w:sz w:val="22"/>
          <w:szCs w:val="22"/>
          <w:lang w:val="en-US"/>
        </w:rPr>
      </w:pPr>
      <w:r w:rsidRPr="009C4EE2">
        <w:rPr>
          <w:sz w:val="22"/>
          <w:szCs w:val="22"/>
          <w:lang w:val="en-US"/>
        </w:rPr>
        <w:t>Names of statutes not italicised.</w:t>
      </w:r>
    </w:p>
    <w:p w:rsidR="009D6470" w:rsidRPr="009C4EE2" w:rsidRDefault="009D6470">
      <w:pPr>
        <w:autoSpaceDE w:val="0"/>
        <w:autoSpaceDN w:val="0"/>
        <w:jc w:val="both"/>
        <w:rPr>
          <w:sz w:val="22"/>
          <w:szCs w:val="22"/>
          <w:lang w:val="en-US"/>
        </w:rPr>
      </w:pPr>
    </w:p>
    <w:p w:rsidR="00A04BFB" w:rsidRPr="009C4EE2" w:rsidRDefault="00A04BFB">
      <w:pPr>
        <w:autoSpaceDE w:val="0"/>
        <w:autoSpaceDN w:val="0"/>
        <w:jc w:val="both"/>
        <w:rPr>
          <w:sz w:val="22"/>
          <w:szCs w:val="22"/>
          <w:lang w:val="en-US"/>
        </w:rPr>
      </w:pPr>
      <w:r w:rsidRPr="009C4EE2">
        <w:rPr>
          <w:sz w:val="22"/>
          <w:szCs w:val="22"/>
          <w:lang w:val="en-US"/>
        </w:rPr>
        <w:t>In text:</w:t>
      </w:r>
    </w:p>
    <w:p w:rsidR="00A04BFB" w:rsidRPr="009C4EE2" w:rsidRDefault="00A04BFB">
      <w:pPr>
        <w:autoSpaceDE w:val="0"/>
        <w:autoSpaceDN w:val="0"/>
        <w:jc w:val="both"/>
        <w:rPr>
          <w:sz w:val="22"/>
          <w:szCs w:val="22"/>
          <w:lang w:val="en-US"/>
        </w:rPr>
      </w:pPr>
      <w:r w:rsidRPr="009C4EE2">
        <w:rPr>
          <w:sz w:val="22"/>
          <w:szCs w:val="22"/>
          <w:lang w:val="en-US"/>
        </w:rPr>
        <w:t>Section 3 of the Torts (Interference with Goods) Act 1977 (upper case S only at start of sentence).</w:t>
      </w:r>
    </w:p>
    <w:p w:rsidR="00A04BFB" w:rsidRPr="009C4EE2" w:rsidRDefault="00A04BFB">
      <w:pPr>
        <w:autoSpaceDE w:val="0"/>
        <w:autoSpaceDN w:val="0"/>
        <w:jc w:val="both"/>
        <w:rPr>
          <w:sz w:val="22"/>
          <w:szCs w:val="22"/>
          <w:lang w:val="en-US"/>
        </w:rPr>
      </w:pPr>
      <w:r w:rsidRPr="009C4EE2">
        <w:rPr>
          <w:sz w:val="22"/>
          <w:szCs w:val="22"/>
          <w:lang w:val="en-US"/>
        </w:rPr>
        <w:t>Schedule and Part: in full, upper case.</w:t>
      </w:r>
    </w:p>
    <w:p w:rsidR="00A04BFB" w:rsidRPr="009C4EE2" w:rsidRDefault="00A04BFB">
      <w:pPr>
        <w:autoSpaceDE w:val="0"/>
        <w:autoSpaceDN w:val="0"/>
        <w:jc w:val="both"/>
        <w:rPr>
          <w:sz w:val="22"/>
          <w:szCs w:val="22"/>
          <w:lang w:val="en-US"/>
        </w:rPr>
      </w:pPr>
    </w:p>
    <w:p w:rsidR="00A04BFB" w:rsidRPr="009C4EE2" w:rsidRDefault="00A04BFB">
      <w:pPr>
        <w:autoSpaceDE w:val="0"/>
        <w:autoSpaceDN w:val="0"/>
        <w:jc w:val="both"/>
        <w:rPr>
          <w:sz w:val="22"/>
          <w:szCs w:val="22"/>
          <w:lang w:val="en-US"/>
        </w:rPr>
      </w:pPr>
      <w:r w:rsidRPr="009C4EE2">
        <w:rPr>
          <w:sz w:val="22"/>
          <w:szCs w:val="22"/>
          <w:lang w:val="en-US"/>
        </w:rPr>
        <w:t>In footnote:</w:t>
      </w:r>
    </w:p>
    <w:p w:rsidR="00A04BFB" w:rsidRPr="009C4EE2" w:rsidRDefault="00A04BFB">
      <w:pPr>
        <w:autoSpaceDE w:val="0"/>
        <w:autoSpaceDN w:val="0"/>
        <w:jc w:val="both"/>
        <w:rPr>
          <w:sz w:val="22"/>
          <w:szCs w:val="22"/>
          <w:lang w:val="en-US"/>
        </w:rPr>
      </w:pPr>
      <w:r w:rsidRPr="009C4EE2">
        <w:rPr>
          <w:sz w:val="22"/>
          <w:szCs w:val="22"/>
          <w:lang w:val="en-US"/>
        </w:rPr>
        <w:t xml:space="preserve">Section in full only where </w:t>
      </w:r>
      <w:r w:rsidR="00F54085" w:rsidRPr="009C4EE2">
        <w:rPr>
          <w:sz w:val="22"/>
          <w:szCs w:val="22"/>
          <w:lang w:val="en-US"/>
        </w:rPr>
        <w:t xml:space="preserve">it </w:t>
      </w:r>
      <w:r w:rsidRPr="009C4EE2">
        <w:rPr>
          <w:sz w:val="22"/>
          <w:szCs w:val="22"/>
          <w:lang w:val="en-US"/>
        </w:rPr>
        <w:t>starts the note, but generally refer to statutes as:</w:t>
      </w:r>
    </w:p>
    <w:p w:rsidR="00A04BFB" w:rsidRPr="009C4EE2" w:rsidRDefault="00A04BFB">
      <w:pPr>
        <w:autoSpaceDE w:val="0"/>
        <w:autoSpaceDN w:val="0"/>
        <w:jc w:val="both"/>
        <w:rPr>
          <w:sz w:val="22"/>
          <w:szCs w:val="22"/>
          <w:lang w:val="en-US"/>
        </w:rPr>
      </w:pPr>
      <w:r w:rsidRPr="009C4EE2">
        <w:rPr>
          <w:sz w:val="22"/>
          <w:szCs w:val="22"/>
          <w:lang w:val="en-US"/>
        </w:rPr>
        <w:t>Torts (Interference with Goods) Act 1977, s. 3 or ss. 5 and 7.</w:t>
      </w:r>
    </w:p>
    <w:p w:rsidR="00A04BFB" w:rsidRPr="009C4EE2" w:rsidRDefault="00F54085">
      <w:pPr>
        <w:autoSpaceDE w:val="0"/>
        <w:autoSpaceDN w:val="0"/>
        <w:jc w:val="both"/>
        <w:rPr>
          <w:sz w:val="22"/>
          <w:szCs w:val="22"/>
          <w:lang w:val="en-US"/>
        </w:rPr>
      </w:pPr>
      <w:r w:rsidRPr="009C4EE2">
        <w:rPr>
          <w:sz w:val="22"/>
          <w:szCs w:val="22"/>
          <w:lang w:val="en-US"/>
        </w:rPr>
        <w:t>Sch. and Pt</w:t>
      </w:r>
    </w:p>
    <w:p w:rsidR="00A04BFB" w:rsidRPr="009C4EE2" w:rsidRDefault="00A04BFB">
      <w:pPr>
        <w:autoSpaceDE w:val="0"/>
        <w:autoSpaceDN w:val="0"/>
        <w:jc w:val="both"/>
        <w:rPr>
          <w:sz w:val="22"/>
          <w:szCs w:val="22"/>
          <w:lang w:val="en-US"/>
        </w:rPr>
      </w:pPr>
    </w:p>
    <w:p w:rsidR="00A04BFB" w:rsidRPr="009C4EE2" w:rsidRDefault="00A04BFB">
      <w:pPr>
        <w:autoSpaceDE w:val="0"/>
        <w:autoSpaceDN w:val="0"/>
        <w:jc w:val="both"/>
        <w:rPr>
          <w:b/>
          <w:sz w:val="22"/>
          <w:szCs w:val="22"/>
          <w:lang w:val="en-US"/>
        </w:rPr>
      </w:pPr>
      <w:r w:rsidRPr="009C4EE2">
        <w:rPr>
          <w:b/>
          <w:sz w:val="22"/>
          <w:szCs w:val="22"/>
          <w:lang w:val="en-US"/>
        </w:rPr>
        <w:t>STATUTORY INSTRUMENTS etc.</w:t>
      </w:r>
    </w:p>
    <w:p w:rsidR="00A04BFB" w:rsidRPr="009C4EE2" w:rsidRDefault="00A04BFB">
      <w:pPr>
        <w:autoSpaceDE w:val="0"/>
        <w:autoSpaceDN w:val="0"/>
        <w:jc w:val="both"/>
        <w:rPr>
          <w:sz w:val="22"/>
          <w:szCs w:val="22"/>
          <w:lang w:val="en-US"/>
        </w:rPr>
      </w:pPr>
      <w:r w:rsidRPr="009C4EE2">
        <w:rPr>
          <w:sz w:val="22"/>
          <w:szCs w:val="22"/>
          <w:lang w:val="en-US"/>
        </w:rPr>
        <w:t>S.I. 1994/501 reg. 1.</w:t>
      </w:r>
    </w:p>
    <w:p w:rsidR="00A04BFB" w:rsidRPr="009C4EE2" w:rsidRDefault="00A04BFB">
      <w:pPr>
        <w:autoSpaceDE w:val="0"/>
        <w:autoSpaceDN w:val="0"/>
        <w:jc w:val="both"/>
        <w:rPr>
          <w:sz w:val="22"/>
          <w:szCs w:val="22"/>
          <w:lang w:val="en-US"/>
        </w:rPr>
      </w:pPr>
      <w:r w:rsidRPr="009C4EE2">
        <w:rPr>
          <w:sz w:val="22"/>
          <w:szCs w:val="22"/>
          <w:lang w:val="en-US"/>
        </w:rPr>
        <w:t>Return of Cultural Objects Regulations 1994, S.I. No. 501 of 1994.</w:t>
      </w:r>
    </w:p>
    <w:p w:rsidR="00A04BFB" w:rsidRPr="009C4EE2" w:rsidRDefault="00A04BFB">
      <w:pPr>
        <w:autoSpaceDE w:val="0"/>
        <w:autoSpaceDN w:val="0"/>
        <w:jc w:val="both"/>
        <w:rPr>
          <w:sz w:val="22"/>
          <w:szCs w:val="22"/>
          <w:lang w:val="en-US"/>
        </w:rPr>
      </w:pPr>
    </w:p>
    <w:p w:rsidR="00A04BFB" w:rsidRPr="009C4EE2" w:rsidRDefault="00A04BFB">
      <w:pPr>
        <w:autoSpaceDE w:val="0"/>
        <w:autoSpaceDN w:val="0"/>
        <w:jc w:val="both"/>
        <w:rPr>
          <w:sz w:val="22"/>
          <w:szCs w:val="22"/>
          <w:lang w:val="en-US"/>
        </w:rPr>
      </w:pPr>
      <w:r w:rsidRPr="009C4EE2">
        <w:rPr>
          <w:sz w:val="22"/>
          <w:szCs w:val="22"/>
          <w:lang w:val="en-US"/>
        </w:rPr>
        <w:t>Hansard:</w:t>
      </w:r>
    </w:p>
    <w:p w:rsidR="00A04BFB" w:rsidRPr="009C4EE2" w:rsidRDefault="00A04BFB">
      <w:pPr>
        <w:autoSpaceDE w:val="0"/>
        <w:autoSpaceDN w:val="0"/>
        <w:jc w:val="both"/>
        <w:rPr>
          <w:sz w:val="22"/>
          <w:szCs w:val="22"/>
          <w:lang w:val="en-US"/>
        </w:rPr>
      </w:pPr>
      <w:r w:rsidRPr="009C4EE2">
        <w:rPr>
          <w:i/>
          <w:sz w:val="22"/>
          <w:szCs w:val="22"/>
          <w:lang w:val="en-US"/>
        </w:rPr>
        <w:t>Hansard</w:t>
      </w:r>
      <w:r w:rsidRPr="009C4EE2">
        <w:rPr>
          <w:sz w:val="22"/>
          <w:szCs w:val="22"/>
          <w:lang w:val="en-US"/>
        </w:rPr>
        <w:t>, H.C. Vol. 253, col. 1327-1328.</w:t>
      </w:r>
    </w:p>
    <w:p w:rsidR="00A04BFB" w:rsidRPr="009C4EE2" w:rsidRDefault="00A04BFB">
      <w:pPr>
        <w:autoSpaceDE w:val="0"/>
        <w:autoSpaceDN w:val="0"/>
        <w:jc w:val="both"/>
        <w:rPr>
          <w:sz w:val="22"/>
          <w:szCs w:val="22"/>
          <w:lang w:val="en-US"/>
        </w:rPr>
      </w:pPr>
    </w:p>
    <w:p w:rsidR="00230E51" w:rsidRPr="009C4EE2" w:rsidRDefault="00230E51" w:rsidP="00230E51">
      <w:pPr>
        <w:pStyle w:val="Heading3"/>
        <w:rPr>
          <w:sz w:val="22"/>
          <w:szCs w:val="22"/>
        </w:rPr>
      </w:pPr>
      <w:r w:rsidRPr="009C4EE2">
        <w:rPr>
          <w:sz w:val="22"/>
          <w:szCs w:val="22"/>
        </w:rPr>
        <w:t>INTERNATIONAL CONVENTIONS</w:t>
      </w:r>
    </w:p>
    <w:p w:rsidR="00230E51" w:rsidRPr="009C4EE2" w:rsidRDefault="00230E51" w:rsidP="00230E51">
      <w:pPr>
        <w:autoSpaceDE w:val="0"/>
        <w:autoSpaceDN w:val="0"/>
        <w:jc w:val="both"/>
        <w:rPr>
          <w:sz w:val="22"/>
          <w:szCs w:val="22"/>
          <w:lang w:val="en-US"/>
        </w:rPr>
      </w:pPr>
      <w:r w:rsidRPr="009C4EE2">
        <w:rPr>
          <w:sz w:val="22"/>
          <w:szCs w:val="22"/>
          <w:lang w:val="en-US"/>
        </w:rPr>
        <w:t>Name of international etc. conventions not italicised.</w:t>
      </w:r>
    </w:p>
    <w:p w:rsidR="00230E51" w:rsidRPr="009C4EE2" w:rsidRDefault="00230E51" w:rsidP="00230E51">
      <w:pPr>
        <w:autoSpaceDE w:val="0"/>
        <w:autoSpaceDN w:val="0"/>
        <w:jc w:val="both"/>
        <w:rPr>
          <w:sz w:val="22"/>
          <w:szCs w:val="22"/>
          <w:lang w:val="en-US"/>
        </w:rPr>
      </w:pPr>
      <w:r w:rsidRPr="009C4EE2">
        <w:rPr>
          <w:sz w:val="22"/>
          <w:szCs w:val="22"/>
          <w:lang w:val="en-US"/>
        </w:rPr>
        <w:t>When referencing clauses of a convention, use digit e.g. Principle 3 of the Vermillion Accord…</w:t>
      </w:r>
    </w:p>
    <w:p w:rsidR="00230E51" w:rsidRPr="009C4EE2" w:rsidRDefault="00230E51">
      <w:pPr>
        <w:autoSpaceDE w:val="0"/>
        <w:autoSpaceDN w:val="0"/>
        <w:jc w:val="both"/>
        <w:rPr>
          <w:sz w:val="22"/>
          <w:szCs w:val="22"/>
          <w:lang w:val="en-US"/>
        </w:rPr>
      </w:pPr>
    </w:p>
    <w:p w:rsidR="00A04BFB" w:rsidRPr="009C4EE2" w:rsidRDefault="00A04BFB">
      <w:pPr>
        <w:autoSpaceDE w:val="0"/>
        <w:autoSpaceDN w:val="0"/>
        <w:jc w:val="both"/>
        <w:rPr>
          <w:sz w:val="22"/>
          <w:szCs w:val="22"/>
          <w:lang w:val="en-US"/>
        </w:rPr>
      </w:pPr>
    </w:p>
    <w:p w:rsidR="00DE3208" w:rsidRPr="009C4EE2" w:rsidRDefault="00DE3208">
      <w:pPr>
        <w:rPr>
          <w:b/>
          <w:sz w:val="22"/>
          <w:szCs w:val="22"/>
        </w:rPr>
      </w:pPr>
      <w:bookmarkStart w:id="0" w:name="_GoBack"/>
      <w:bookmarkEnd w:id="0"/>
    </w:p>
    <w:sectPr w:rsidR="00DE3208" w:rsidRPr="009C4EE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5B" w:rsidRDefault="00D70E5B">
      <w:r>
        <w:separator/>
      </w:r>
    </w:p>
  </w:endnote>
  <w:endnote w:type="continuationSeparator" w:id="0">
    <w:p w:rsidR="00D70E5B" w:rsidRDefault="00D7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5B" w:rsidRDefault="00D70E5B">
      <w:r>
        <w:separator/>
      </w:r>
    </w:p>
  </w:footnote>
  <w:footnote w:type="continuationSeparator" w:id="0">
    <w:p w:rsidR="00D70E5B" w:rsidRDefault="00D70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6D3"/>
    <w:multiLevelType w:val="hybridMultilevel"/>
    <w:tmpl w:val="900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D6041"/>
    <w:multiLevelType w:val="hybridMultilevel"/>
    <w:tmpl w:val="AAEA8004"/>
    <w:lvl w:ilvl="0" w:tplc="1F068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121DD"/>
    <w:multiLevelType w:val="hybridMultilevel"/>
    <w:tmpl w:val="B6B26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AC"/>
    <w:rsid w:val="000D3ABF"/>
    <w:rsid w:val="000F5CB1"/>
    <w:rsid w:val="00120C1F"/>
    <w:rsid w:val="001475BB"/>
    <w:rsid w:val="001C748F"/>
    <w:rsid w:val="00200602"/>
    <w:rsid w:val="00230E51"/>
    <w:rsid w:val="002A3B7A"/>
    <w:rsid w:val="00324F1A"/>
    <w:rsid w:val="00332576"/>
    <w:rsid w:val="003F403A"/>
    <w:rsid w:val="0048766E"/>
    <w:rsid w:val="006910A4"/>
    <w:rsid w:val="007C1E96"/>
    <w:rsid w:val="007C72C9"/>
    <w:rsid w:val="00835855"/>
    <w:rsid w:val="00861799"/>
    <w:rsid w:val="008C74C9"/>
    <w:rsid w:val="008F5F39"/>
    <w:rsid w:val="00930C28"/>
    <w:rsid w:val="00937D25"/>
    <w:rsid w:val="009B000D"/>
    <w:rsid w:val="009B0859"/>
    <w:rsid w:val="009C4EE2"/>
    <w:rsid w:val="009D6470"/>
    <w:rsid w:val="00A04BFB"/>
    <w:rsid w:val="00AA5E79"/>
    <w:rsid w:val="00B338B0"/>
    <w:rsid w:val="00B42538"/>
    <w:rsid w:val="00BB1082"/>
    <w:rsid w:val="00C12838"/>
    <w:rsid w:val="00C37378"/>
    <w:rsid w:val="00CC73EE"/>
    <w:rsid w:val="00D70E5B"/>
    <w:rsid w:val="00D9660B"/>
    <w:rsid w:val="00DE3208"/>
    <w:rsid w:val="00EB78C0"/>
    <w:rsid w:val="00F010AC"/>
    <w:rsid w:val="00F54085"/>
    <w:rsid w:val="00F9313B"/>
    <w:rsid w:val="00FC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780157"/>
  <w15:docId w15:val="{472765AC-DB12-4426-B69B-7C80885D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lang w:val="nl-NL" w:eastAsia="en-US"/>
    </w:rPr>
  </w:style>
  <w:style w:type="paragraph" w:styleId="Heading1">
    <w:name w:val="heading 1"/>
    <w:basedOn w:val="Normal"/>
    <w:next w:val="Normal"/>
    <w:qFormat/>
    <w:pPr>
      <w:keepNext/>
      <w:autoSpaceDE w:val="0"/>
      <w:autoSpaceDN w:val="0"/>
      <w:jc w:val="center"/>
      <w:outlineLvl w:val="0"/>
    </w:pPr>
    <w:rPr>
      <w:rFonts w:eastAsia="Arial Unicode MS"/>
      <w:color w:val="auto"/>
      <w:sz w:val="36"/>
      <w:lang w:val="en-US"/>
    </w:rPr>
  </w:style>
  <w:style w:type="paragraph" w:styleId="Heading2">
    <w:name w:val="heading 2"/>
    <w:basedOn w:val="Normal"/>
    <w:next w:val="Normal"/>
    <w:qFormat/>
    <w:pPr>
      <w:keepNext/>
      <w:autoSpaceDE w:val="0"/>
      <w:autoSpaceDN w:val="0"/>
      <w:jc w:val="both"/>
      <w:outlineLvl w:val="1"/>
    </w:pPr>
    <w:rPr>
      <w:rFonts w:eastAsia="Arial Unicode MS"/>
      <w:i/>
      <w:color w:val="auto"/>
      <w:lang w:val="en-US"/>
    </w:rPr>
  </w:style>
  <w:style w:type="paragraph" w:styleId="Heading3">
    <w:name w:val="heading 3"/>
    <w:basedOn w:val="Normal"/>
    <w:next w:val="Normal"/>
    <w:qFormat/>
    <w:pPr>
      <w:keepNext/>
      <w:autoSpaceDE w:val="0"/>
      <w:autoSpaceDN w:val="0"/>
      <w:jc w:val="both"/>
      <w:outlineLvl w:val="2"/>
    </w:pPr>
    <w:rPr>
      <w:rFonts w:eastAsia="Arial Unicode MS"/>
      <w:b/>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10AC"/>
    <w:rPr>
      <w:vertAlign w:val="superscript"/>
    </w:rPr>
  </w:style>
  <w:style w:type="paragraph" w:styleId="FootnoteText">
    <w:name w:val="footnote text"/>
    <w:basedOn w:val="Normal"/>
    <w:rsid w:val="00F010AC"/>
    <w:rPr>
      <w:color w:val="auto"/>
      <w:sz w:val="20"/>
    </w:rPr>
  </w:style>
  <w:style w:type="character" w:styleId="Hyperlink">
    <w:name w:val="Hyperlink"/>
    <w:rsid w:val="008F5F39"/>
    <w:rPr>
      <w:color w:val="0000FF"/>
      <w:u w:val="single"/>
    </w:rPr>
  </w:style>
  <w:style w:type="paragraph" w:styleId="ListParagraph">
    <w:name w:val="List Paragraph"/>
    <w:basedOn w:val="Normal"/>
    <w:uiPriority w:val="34"/>
    <w:qFormat/>
    <w:rsid w:val="00200602"/>
    <w:pPr>
      <w:ind w:left="720"/>
    </w:pPr>
    <w:rPr>
      <w:rFonts w:ascii="Verdana" w:eastAsia="Calibri" w:hAnsi="Verdana"/>
      <w:szCs w:val="24"/>
      <w:lang w:val="en-GB"/>
    </w:rPr>
  </w:style>
  <w:style w:type="paragraph" w:styleId="BalloonText">
    <w:name w:val="Balloon Text"/>
    <w:basedOn w:val="Normal"/>
    <w:link w:val="BalloonTextChar"/>
    <w:rsid w:val="00D9660B"/>
    <w:rPr>
      <w:rFonts w:ascii="Tahoma" w:hAnsi="Tahoma" w:cs="Tahoma"/>
      <w:sz w:val="16"/>
      <w:szCs w:val="16"/>
    </w:rPr>
  </w:style>
  <w:style w:type="character" w:customStyle="1" w:styleId="BalloonTextChar">
    <w:name w:val="Balloon Text Char"/>
    <w:basedOn w:val="DefaultParagraphFont"/>
    <w:link w:val="BalloonText"/>
    <w:rsid w:val="00D9660B"/>
    <w:rPr>
      <w:rFonts w:ascii="Tahoma" w:hAnsi="Tahoma" w:cs="Tahoma"/>
      <w:color w:val="000000"/>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ations@ial.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ART ANTIQUITY AND LAW</vt:lpstr>
    </vt:vector>
  </TitlesOfParts>
  <Company/>
  <LinksUpToDate>false</LinksUpToDate>
  <CharactersWithSpaces>7272</CharactersWithSpaces>
  <SharedDoc>false</SharedDoc>
  <HLinks>
    <vt:vector size="6" baseType="variant">
      <vt:variant>
        <vt:i4>1376361</vt:i4>
      </vt:variant>
      <vt:variant>
        <vt:i4>0</vt:i4>
      </vt:variant>
      <vt:variant>
        <vt:i4>0</vt:i4>
      </vt:variant>
      <vt:variant>
        <vt:i4>5</vt:i4>
      </vt:variant>
      <vt:variant>
        <vt:lpwstr>mailto:publications@ial.uk.com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ANTIQUITY AND LAW</dc:title>
  <dc:creator>hoogewoud, f.j.</dc:creator>
  <cp:lastModifiedBy>Ruth Redmond-Cooper</cp:lastModifiedBy>
  <cp:revision>4</cp:revision>
  <cp:lastPrinted>2012-05-24T06:12:00Z</cp:lastPrinted>
  <dcterms:created xsi:type="dcterms:W3CDTF">2017-09-01T05:35:00Z</dcterms:created>
  <dcterms:modified xsi:type="dcterms:W3CDTF">2017-09-01T08:40:00Z</dcterms:modified>
</cp:coreProperties>
</file>